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13" w:rsidRPr="002C004B" w:rsidRDefault="00877813" w:rsidP="002C004B">
      <w:pPr>
        <w:spacing w:line="20" w:lineRule="atLeast"/>
        <w:rPr>
          <w:rFonts w:ascii="Arial" w:eastAsia="Times New Roman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Times New Roman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Times New Roman" w:hAnsi="Arial" w:cs="Arial"/>
          <w:sz w:val="24"/>
          <w:szCs w:val="24"/>
        </w:rPr>
      </w:pPr>
    </w:p>
    <w:p w:rsidR="00877813" w:rsidRPr="002C004B" w:rsidRDefault="00877813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877813" w:rsidRPr="003215F7" w:rsidRDefault="00B62AAD">
      <w:pPr>
        <w:spacing w:before="70"/>
        <w:ind w:left="1096" w:right="358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N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THE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COURT 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APPEAL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TANZAN</w:t>
      </w:r>
      <w:r w:rsidR="002C004B" w:rsidRP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A</w:t>
      </w:r>
    </w:p>
    <w:p w:rsidR="00877813" w:rsidRPr="003215F7" w:rsidRDefault="00B62AAD">
      <w:pPr>
        <w:spacing w:before="23"/>
        <w:ind w:left="1269" w:right="17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215F7">
        <w:rPr>
          <w:rFonts w:ascii="Arial" w:hAnsi="Arial" w:cs="Arial"/>
          <w:b/>
          <w:sz w:val="24"/>
          <w:szCs w:val="24"/>
          <w:u w:val="single"/>
        </w:rPr>
        <w:t>AT</w:t>
      </w:r>
      <w:r w:rsidRPr="003215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15F7">
        <w:rPr>
          <w:rFonts w:ascii="Arial" w:hAnsi="Arial" w:cs="Arial"/>
          <w:b/>
          <w:sz w:val="24"/>
          <w:szCs w:val="24"/>
          <w:u w:val="single"/>
        </w:rPr>
        <w:t>A</w:t>
      </w:r>
      <w:r w:rsidRPr="003215F7">
        <w:rPr>
          <w:rFonts w:ascii="Arial" w:hAnsi="Arial" w:cs="Arial"/>
          <w:b/>
          <w:sz w:val="24"/>
          <w:szCs w:val="24"/>
          <w:u w:val="single"/>
        </w:rPr>
        <w:t>RUSHA</w:t>
      </w:r>
    </w:p>
    <w:p w:rsidR="00877813" w:rsidRPr="003215F7" w:rsidRDefault="00877813">
      <w:pPr>
        <w:spacing w:before="1"/>
        <w:rPr>
          <w:rFonts w:ascii="Arial" w:eastAsia="Arial" w:hAnsi="Arial" w:cs="Arial"/>
          <w:b/>
          <w:sz w:val="24"/>
          <w:szCs w:val="24"/>
        </w:rPr>
      </w:pPr>
    </w:p>
    <w:p w:rsidR="003215F7" w:rsidRDefault="00B62AAD">
      <w:pPr>
        <w:spacing w:line="529" w:lineRule="auto"/>
        <w:ind w:left="2651" w:right="1505"/>
        <w:jc w:val="center"/>
        <w:rPr>
          <w:rFonts w:ascii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(</w:t>
      </w:r>
      <w:r w:rsidRPr="003215F7">
        <w:rPr>
          <w:rFonts w:ascii="Arial" w:hAnsi="Arial" w:cs="Arial"/>
          <w:b/>
          <w:sz w:val="24"/>
          <w:szCs w:val="24"/>
        </w:rPr>
        <w:t>C</w:t>
      </w:r>
      <w:r w:rsidRPr="003215F7">
        <w:rPr>
          <w:rFonts w:ascii="Arial" w:hAnsi="Arial" w:cs="Arial"/>
          <w:b/>
          <w:sz w:val="24"/>
          <w:szCs w:val="24"/>
        </w:rPr>
        <w:t>ORAM: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OTHMA</w:t>
      </w:r>
      <w:r w:rsidRPr="003215F7">
        <w:rPr>
          <w:rFonts w:ascii="Arial" w:hAnsi="Arial" w:cs="Arial"/>
          <w:b/>
          <w:sz w:val="24"/>
          <w:szCs w:val="24"/>
        </w:rPr>
        <w:t>N</w:t>
      </w:r>
      <w:proofErr w:type="gramStart"/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</w:rPr>
        <w:t>C.J</w:t>
      </w:r>
      <w:proofErr w:type="gramEnd"/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MJAS</w:t>
      </w:r>
      <w:r w:rsidRP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R</w:t>
      </w:r>
      <w:r w:rsidRP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</w:rPr>
        <w:t>J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A.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And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JUMA</w:t>
      </w:r>
      <w:proofErr w:type="gramStart"/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</w:rPr>
        <w:t>J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A</w:t>
      </w:r>
      <w:proofErr w:type="gramEnd"/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)</w:t>
      </w:r>
    </w:p>
    <w:p w:rsidR="00877813" w:rsidRPr="003215F7" w:rsidRDefault="00B62AAD">
      <w:pPr>
        <w:spacing w:line="529" w:lineRule="auto"/>
        <w:ind w:left="2651" w:right="1505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CI</w:t>
      </w:r>
      <w:r w:rsidRPr="003215F7">
        <w:rPr>
          <w:rFonts w:ascii="Arial" w:hAnsi="Arial" w:cs="Arial"/>
          <w:b/>
          <w:sz w:val="24"/>
          <w:szCs w:val="24"/>
        </w:rPr>
        <w:t>V</w:t>
      </w:r>
      <w:r w:rsid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L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APPEAL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NO.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84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2009</w:t>
      </w:r>
    </w:p>
    <w:p w:rsidR="00877813" w:rsidRPr="003215F7" w:rsidRDefault="00B62AAD">
      <w:pPr>
        <w:spacing w:before="9"/>
        <w:ind w:left="1158" w:right="358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TANZAN</w:t>
      </w:r>
      <w:r w:rsid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A</w:t>
      </w:r>
      <w:r w:rsid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REVENUE</w:t>
      </w:r>
      <w:r w:rsid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</w:t>
      </w:r>
      <w:r w:rsidRPr="003215F7">
        <w:rPr>
          <w:rFonts w:ascii="Arial" w:hAnsi="Arial" w:cs="Arial"/>
          <w:b/>
          <w:sz w:val="24"/>
          <w:szCs w:val="24"/>
        </w:rPr>
        <w:t>U</w:t>
      </w:r>
      <w:r w:rsidRPr="003215F7">
        <w:rPr>
          <w:rFonts w:ascii="Arial" w:hAnsi="Arial" w:cs="Arial"/>
          <w:b/>
          <w:sz w:val="24"/>
          <w:szCs w:val="24"/>
        </w:rPr>
        <w:t>THOR</w:t>
      </w:r>
      <w:r w:rsidRPr="003215F7">
        <w:rPr>
          <w:rFonts w:ascii="Arial" w:hAnsi="Arial" w:cs="Arial"/>
          <w:b/>
          <w:sz w:val="24"/>
          <w:szCs w:val="24"/>
        </w:rPr>
        <w:t>T</w:t>
      </w:r>
      <w:r w:rsidRPr="003215F7">
        <w:rPr>
          <w:rFonts w:ascii="Arial" w:hAnsi="Arial" w:cs="Arial"/>
          <w:b/>
          <w:sz w:val="24"/>
          <w:szCs w:val="24"/>
        </w:rPr>
        <w:t>Y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..........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.......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APPELLANT</w:t>
      </w:r>
    </w:p>
    <w:p w:rsidR="00877813" w:rsidRPr="003215F7" w:rsidRDefault="00877813">
      <w:pPr>
        <w:spacing w:before="8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B62AAD">
      <w:pPr>
        <w:ind w:left="1269" w:right="155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VERSUS</w:t>
      </w:r>
    </w:p>
    <w:p w:rsidR="00877813" w:rsidRPr="003215F7" w:rsidRDefault="00877813">
      <w:pPr>
        <w:spacing w:before="5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B62AAD">
      <w:pPr>
        <w:ind w:left="1269" w:right="358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TANGO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TRANSPORT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COMPANY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L</w:t>
      </w:r>
      <w:r w:rsidRPr="003215F7">
        <w:rPr>
          <w:rFonts w:ascii="Arial" w:hAnsi="Arial" w:cs="Arial"/>
          <w:b/>
          <w:sz w:val="24"/>
          <w:szCs w:val="24"/>
        </w:rPr>
        <w:t>T</w:t>
      </w:r>
      <w:r w:rsidRPr="003215F7">
        <w:rPr>
          <w:rFonts w:ascii="Arial" w:hAnsi="Arial" w:cs="Arial"/>
          <w:b/>
          <w:sz w:val="24"/>
          <w:szCs w:val="24"/>
        </w:rPr>
        <w:t>D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.........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RESPONDENT</w:t>
      </w:r>
    </w:p>
    <w:p w:rsidR="00877813" w:rsidRPr="003215F7" w:rsidRDefault="00877813">
      <w:pPr>
        <w:spacing w:before="2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B62AAD">
      <w:pPr>
        <w:spacing w:line="252" w:lineRule="auto"/>
        <w:ind w:left="1730" w:right="599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(Appeal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from a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judgment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and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decree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the</w:t>
      </w:r>
      <w:r w:rsidRPr="003215F7">
        <w:rPr>
          <w:rFonts w:ascii="Arial" w:hAnsi="Arial" w:cs="Arial"/>
          <w:b/>
          <w:sz w:val="24"/>
          <w:szCs w:val="24"/>
        </w:rPr>
        <w:t xml:space="preserve"> High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Court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Tanzania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at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Arusha)</w:t>
      </w:r>
    </w:p>
    <w:p w:rsidR="00877813" w:rsidRPr="003215F7" w:rsidRDefault="00877813">
      <w:pPr>
        <w:spacing w:before="2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B62AAD">
      <w:pPr>
        <w:ind w:left="5280" w:right="415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(</w:t>
      </w:r>
      <w:proofErr w:type="spellStart"/>
      <w:r w:rsidRPr="003215F7">
        <w:rPr>
          <w:rFonts w:ascii="Arial" w:hAnsi="Arial" w:cs="Arial"/>
          <w:b/>
          <w:sz w:val="24"/>
          <w:szCs w:val="24"/>
        </w:rPr>
        <w:t>Mushi</w:t>
      </w:r>
      <w:proofErr w:type="gramStart"/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</w:rPr>
        <w:t>J</w:t>
      </w:r>
      <w:proofErr w:type="spellEnd"/>
      <w:proofErr w:type="gramEnd"/>
      <w:r w:rsidRPr="003215F7">
        <w:rPr>
          <w:rFonts w:ascii="Arial" w:hAnsi="Arial" w:cs="Arial"/>
          <w:b/>
          <w:sz w:val="24"/>
          <w:szCs w:val="24"/>
        </w:rPr>
        <w:t>.)</w:t>
      </w:r>
    </w:p>
    <w:p w:rsidR="00877813" w:rsidRPr="003215F7" w:rsidRDefault="00877813">
      <w:pPr>
        <w:spacing w:before="2"/>
        <w:rPr>
          <w:rFonts w:ascii="Arial" w:eastAsia="Times New Roman" w:hAnsi="Arial" w:cs="Arial"/>
          <w:b/>
          <w:sz w:val="24"/>
          <w:szCs w:val="24"/>
        </w:rPr>
      </w:pPr>
    </w:p>
    <w:p w:rsidR="00877813" w:rsidRPr="003215F7" w:rsidRDefault="00B62AAD">
      <w:pPr>
        <w:ind w:left="1269" w:right="165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3215F7">
        <w:rPr>
          <w:rFonts w:ascii="Arial" w:hAnsi="Arial" w:cs="Arial"/>
          <w:b/>
          <w:sz w:val="24"/>
          <w:szCs w:val="24"/>
        </w:rPr>
        <w:t>dated</w:t>
      </w:r>
      <w:proofErr w:type="gramEnd"/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the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5th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day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December,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2003</w:t>
      </w:r>
    </w:p>
    <w:p w:rsidR="00877813" w:rsidRPr="003215F7" w:rsidRDefault="00B62AAD">
      <w:pPr>
        <w:spacing w:before="26"/>
        <w:ind w:left="5280" w:right="4132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3215F7">
        <w:rPr>
          <w:rFonts w:ascii="Arial" w:hAnsi="Arial" w:cs="Arial"/>
          <w:b/>
          <w:sz w:val="24"/>
          <w:szCs w:val="24"/>
        </w:rPr>
        <w:t>i</w:t>
      </w:r>
      <w:r w:rsidRPr="003215F7">
        <w:rPr>
          <w:rFonts w:ascii="Arial" w:hAnsi="Arial" w:cs="Arial"/>
          <w:b/>
          <w:sz w:val="24"/>
          <w:szCs w:val="24"/>
        </w:rPr>
        <w:t>n</w:t>
      </w:r>
      <w:proofErr w:type="gramEnd"/>
    </w:p>
    <w:p w:rsidR="00877813" w:rsidRPr="003215F7" w:rsidRDefault="00B62AAD">
      <w:pPr>
        <w:spacing w:before="12"/>
        <w:ind w:left="1269" w:right="146"/>
        <w:jc w:val="center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Ci</w:t>
      </w:r>
      <w:r w:rsidRPr="003215F7">
        <w:rPr>
          <w:rFonts w:ascii="Arial" w:hAnsi="Arial" w:cs="Arial"/>
          <w:b/>
          <w:sz w:val="24"/>
          <w:szCs w:val="24"/>
        </w:rPr>
        <w:t>vil</w:t>
      </w:r>
      <w:r w:rsid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 xml:space="preserve">Case </w:t>
      </w:r>
      <w:r w:rsidRPr="003215F7">
        <w:rPr>
          <w:rFonts w:ascii="Arial" w:hAnsi="Arial" w:cs="Arial"/>
          <w:b/>
          <w:sz w:val="24"/>
          <w:szCs w:val="24"/>
        </w:rPr>
        <w:t>No.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38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2000</w:t>
      </w:r>
    </w:p>
    <w:p w:rsidR="00877813" w:rsidRPr="003215F7" w:rsidRDefault="00877813">
      <w:pPr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877813">
      <w:pPr>
        <w:spacing w:before="11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877813">
      <w:pPr>
        <w:rPr>
          <w:rFonts w:ascii="Arial" w:eastAsia="Arial" w:hAnsi="Arial" w:cs="Arial"/>
          <w:b/>
          <w:sz w:val="24"/>
          <w:szCs w:val="24"/>
        </w:rPr>
        <w:sectPr w:rsidR="00877813" w:rsidRPr="003215F7">
          <w:type w:val="continuous"/>
          <w:pgSz w:w="12240" w:h="15840"/>
          <w:pgMar w:top="60" w:right="1180" w:bottom="280" w:left="300" w:header="720" w:footer="720" w:gutter="0"/>
          <w:cols w:space="720"/>
        </w:sectPr>
      </w:pPr>
    </w:p>
    <w:p w:rsidR="00877813" w:rsidRPr="003215F7" w:rsidRDefault="00877813">
      <w:pPr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877813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877813" w:rsidRPr="003215F7" w:rsidRDefault="00B62AAD" w:rsidP="002C004B">
      <w:pPr>
        <w:ind w:left="567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24th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&amp;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27th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October,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2016</w:t>
      </w:r>
    </w:p>
    <w:p w:rsidR="00877813" w:rsidRPr="003215F7" w:rsidRDefault="00B62AAD" w:rsidP="002C004B">
      <w:pPr>
        <w:spacing w:before="34"/>
        <w:ind w:left="567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t>OTHMAN</w:t>
      </w:r>
      <w:proofErr w:type="gramStart"/>
      <w:r w:rsidRPr="003215F7">
        <w:rPr>
          <w:rFonts w:ascii="Arial" w:hAnsi="Arial" w:cs="Arial"/>
          <w:b/>
          <w:sz w:val="24"/>
          <w:szCs w:val="24"/>
        </w:rPr>
        <w:t>,</w:t>
      </w:r>
      <w:r w:rsidRPr="003215F7">
        <w:rPr>
          <w:rFonts w:ascii="Arial" w:hAnsi="Arial" w:cs="Arial"/>
          <w:b/>
          <w:sz w:val="24"/>
          <w:szCs w:val="24"/>
          <w:u w:val="single" w:color="000000"/>
        </w:rPr>
        <w:t>C</w:t>
      </w:r>
      <w:r w:rsidRPr="003215F7">
        <w:rPr>
          <w:rFonts w:ascii="Arial" w:hAnsi="Arial" w:cs="Arial"/>
          <w:b/>
          <w:sz w:val="24"/>
          <w:szCs w:val="24"/>
        </w:rPr>
        <w:t>.J</w:t>
      </w:r>
      <w:proofErr w:type="gramEnd"/>
      <w:r w:rsidRPr="003215F7">
        <w:rPr>
          <w:rFonts w:ascii="Arial" w:hAnsi="Arial" w:cs="Arial"/>
          <w:b/>
          <w:sz w:val="24"/>
          <w:szCs w:val="24"/>
        </w:rPr>
        <w:t>.</w:t>
      </w:r>
      <w:r w:rsidRPr="003215F7">
        <w:rPr>
          <w:rFonts w:ascii="Arial" w:hAnsi="Arial" w:cs="Arial"/>
          <w:b/>
          <w:sz w:val="24"/>
          <w:szCs w:val="24"/>
        </w:rPr>
        <w:t>:</w:t>
      </w:r>
    </w:p>
    <w:p w:rsidR="00877813" w:rsidRPr="003215F7" w:rsidRDefault="00B62AAD">
      <w:pPr>
        <w:spacing w:before="65"/>
        <w:ind w:left="462"/>
        <w:rPr>
          <w:rFonts w:ascii="Arial" w:eastAsia="Arial" w:hAnsi="Arial" w:cs="Arial"/>
          <w:b/>
          <w:sz w:val="24"/>
          <w:szCs w:val="24"/>
        </w:rPr>
      </w:pPr>
      <w:r w:rsidRPr="003215F7">
        <w:rPr>
          <w:rFonts w:ascii="Arial" w:hAnsi="Arial" w:cs="Arial"/>
          <w:b/>
          <w:sz w:val="24"/>
          <w:szCs w:val="24"/>
        </w:rPr>
        <w:br w:type="column"/>
      </w:r>
      <w:r w:rsidRPr="003215F7">
        <w:rPr>
          <w:rFonts w:ascii="Arial" w:hAnsi="Arial" w:cs="Arial"/>
          <w:b/>
          <w:sz w:val="24"/>
          <w:szCs w:val="24"/>
        </w:rPr>
        <w:t>JUDGMENT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OF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TH</w:t>
      </w:r>
      <w:r w:rsidRPr="003215F7">
        <w:rPr>
          <w:rFonts w:ascii="Arial" w:hAnsi="Arial" w:cs="Arial"/>
          <w:b/>
          <w:sz w:val="24"/>
          <w:szCs w:val="24"/>
        </w:rPr>
        <w:t>E</w:t>
      </w:r>
      <w:r w:rsidRPr="003215F7">
        <w:rPr>
          <w:rFonts w:ascii="Arial" w:hAnsi="Arial" w:cs="Arial"/>
          <w:b/>
          <w:sz w:val="24"/>
          <w:szCs w:val="24"/>
        </w:rPr>
        <w:t xml:space="preserve"> </w:t>
      </w:r>
      <w:r w:rsidRPr="003215F7">
        <w:rPr>
          <w:rFonts w:ascii="Arial" w:hAnsi="Arial" w:cs="Arial"/>
          <w:b/>
          <w:sz w:val="24"/>
          <w:szCs w:val="24"/>
        </w:rPr>
        <w:t>COURT</w:t>
      </w: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  <w:sectPr w:rsidR="00877813" w:rsidRPr="002C004B">
          <w:type w:val="continuous"/>
          <w:pgSz w:w="12240" w:h="15840"/>
          <w:pgMar w:top="60" w:right="1180" w:bottom="280" w:left="300" w:header="720" w:footer="720" w:gutter="0"/>
          <w:cols w:num="2" w:space="720" w:equalWidth="0">
            <w:col w:w="3561" w:space="40"/>
            <w:col w:w="7159"/>
          </w:cols>
        </w:sectPr>
      </w:pPr>
    </w:p>
    <w:p w:rsidR="00877813" w:rsidRPr="002C004B" w:rsidRDefault="00877813">
      <w:pPr>
        <w:spacing w:before="4"/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pStyle w:val="BodyText"/>
        <w:spacing w:before="64" w:line="500" w:lineRule="auto"/>
        <w:ind w:left="1269" w:right="111" w:firstLine="950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appellan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,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Tanzan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Revenue Authority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(T.R.A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aggr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ev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judgment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decree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</w:t>
      </w:r>
      <w:proofErr w:type="spellStart"/>
      <w:r w:rsidRPr="002C004B">
        <w:rPr>
          <w:rFonts w:cs="Arial"/>
          <w:sz w:val="24"/>
          <w:szCs w:val="24"/>
        </w:rPr>
        <w:t>Mushi</w:t>
      </w:r>
      <w:proofErr w:type="spellEnd"/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J.),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entered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favour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Tango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Transport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Company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Ltd.</w:t>
      </w:r>
    </w:p>
    <w:p w:rsidR="00877813" w:rsidRPr="002C004B" w:rsidRDefault="00B62AAD">
      <w:pPr>
        <w:pStyle w:val="BodyText"/>
        <w:spacing w:before="15" w:line="504" w:lineRule="auto"/>
        <w:ind w:left="1269" w:right="110" w:firstLine="705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hearing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24/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0/20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6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Akonaay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O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hhay</w:t>
      </w:r>
      <w:proofErr w:type="spellEnd"/>
      <w:r w:rsidRPr="002C004B">
        <w:rPr>
          <w:rFonts w:cs="Arial"/>
          <w:sz w:val="24"/>
          <w:szCs w:val="24"/>
        </w:rPr>
        <w:t>-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Sang'ka</w:t>
      </w:r>
      <w:proofErr w:type="spellEnd"/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learned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Advocate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represented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appellant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Kal</w:t>
      </w:r>
      <w:r w:rsidRPr="002C004B">
        <w:rPr>
          <w:rFonts w:cs="Arial"/>
          <w:sz w:val="24"/>
          <w:szCs w:val="24"/>
        </w:rPr>
        <w:t>olo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Bundala,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learned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Advocate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represented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respondent.</w:t>
      </w:r>
    </w:p>
    <w:p w:rsidR="00877813" w:rsidRPr="002C004B" w:rsidRDefault="00B62AAD">
      <w:pPr>
        <w:pStyle w:val="BodyText"/>
        <w:spacing w:before="3" w:line="509" w:lineRule="auto"/>
        <w:ind w:left="1269" w:right="103" w:firstLine="727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Before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merits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otherwise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essential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brief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account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background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narrated.</w:t>
      </w:r>
    </w:p>
    <w:p w:rsidR="00877813" w:rsidRPr="002C004B" w:rsidRDefault="00877813">
      <w:pPr>
        <w:spacing w:line="509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type w:val="continuous"/>
          <w:pgSz w:w="12240" w:h="15840"/>
          <w:pgMar w:top="60" w:right="1180" w:bottom="280" w:left="300" w:header="720" w:footer="720" w:gutter="0"/>
          <w:cols w:space="720"/>
        </w:sectPr>
      </w:pPr>
    </w:p>
    <w:p w:rsidR="00877813" w:rsidRPr="002C004B" w:rsidRDefault="00877813" w:rsidP="003215F7">
      <w:pPr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 w:rsidP="003215F7">
      <w:pPr>
        <w:pStyle w:val="BodyText"/>
        <w:spacing w:before="217" w:line="504" w:lineRule="auto"/>
        <w:ind w:right="102" w:firstLine="712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company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(plaintiff),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operated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transport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business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Arusha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appellant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(2n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defendant)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two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others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general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damage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restora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value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propert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Scan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orry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(Reg.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>o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TZ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94444)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trailer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(Reg.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z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92238),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interest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costs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pub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auction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 xml:space="preserve">on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8/8/2000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cles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</w:t>
      </w:r>
      <w:r w:rsidRPr="002C004B">
        <w:rPr>
          <w:rFonts w:cs="Arial"/>
          <w:sz w:val="24"/>
          <w:szCs w:val="24"/>
        </w:rPr>
        <w:t>r</w:t>
      </w:r>
      <w:r w:rsidRPr="002C004B">
        <w:rPr>
          <w:rFonts w:cs="Arial"/>
          <w:sz w:val="24"/>
          <w:szCs w:val="24"/>
        </w:rPr>
        <w:t>ompted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(Exh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b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D.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="003215F7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z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Shs</w:t>
      </w:r>
      <w:proofErr w:type="spellEnd"/>
      <w:r w:rsidRPr="002C004B">
        <w:rPr>
          <w:rFonts w:cs="Arial"/>
          <w:sz w:val="24"/>
          <w:szCs w:val="24"/>
        </w:rPr>
        <w:t>.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8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2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538/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=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ssued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section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33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973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6/02/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999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Comm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oner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="003215F7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ncome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Tax.</w:t>
      </w:r>
    </w:p>
    <w:p w:rsidR="00877813" w:rsidRPr="002C004B" w:rsidRDefault="00B62AAD">
      <w:pPr>
        <w:pStyle w:val="BodyText"/>
        <w:spacing w:before="17" w:line="505" w:lineRule="auto"/>
        <w:ind w:right="148" w:firstLine="589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judgment,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held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existing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liabili</w:t>
      </w:r>
      <w:r w:rsidRPr="002C004B">
        <w:rPr>
          <w:rFonts w:cs="Arial"/>
          <w:sz w:val="24"/>
          <w:szCs w:val="24"/>
        </w:rPr>
        <w:t>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payable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time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effecting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</w:t>
      </w:r>
      <w:r w:rsidRPr="002C004B">
        <w:rPr>
          <w:rFonts w:cs="Arial"/>
          <w:sz w:val="24"/>
          <w:szCs w:val="24"/>
        </w:rPr>
        <w:t>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vehicles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lawfully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</w:t>
      </w:r>
      <w:r w:rsidRPr="002C004B">
        <w:rPr>
          <w:rFonts w:cs="Arial"/>
          <w:sz w:val="24"/>
          <w:szCs w:val="24"/>
        </w:rPr>
        <w:t>strained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sol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awarded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Tz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Shs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000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000/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=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replacement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value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</w:t>
      </w:r>
      <w:r w:rsidRPr="002C004B">
        <w:rPr>
          <w:rFonts w:cs="Arial"/>
          <w:sz w:val="24"/>
          <w:szCs w:val="24"/>
        </w:rPr>
        <w:t>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cle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USD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70</w:t>
      </w:r>
      <w:r w:rsidRPr="002C004B">
        <w:rPr>
          <w:rFonts w:cs="Arial"/>
          <w:sz w:val="24"/>
          <w:szCs w:val="24"/>
        </w:rPr>
        <w:t>4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000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oss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bus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nes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Tz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Shs</w:t>
      </w:r>
      <w:proofErr w:type="spellEnd"/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200,000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000/=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general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damage</w:t>
      </w:r>
      <w:r w:rsidRPr="002C004B">
        <w:rPr>
          <w:rFonts w:cs="Arial"/>
          <w:sz w:val="24"/>
          <w:szCs w:val="24"/>
        </w:rPr>
        <w:t>s</w:t>
      </w:r>
      <w:proofErr w:type="gramStart"/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nterest</w:t>
      </w:r>
      <w:proofErr w:type="spellEnd"/>
      <w:proofErr w:type="gram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costs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t.</w:t>
      </w:r>
    </w:p>
    <w:p w:rsidR="00877813" w:rsidRPr="002C004B" w:rsidRDefault="00B62AAD" w:rsidP="003215F7">
      <w:pPr>
        <w:pStyle w:val="BodyText"/>
        <w:spacing w:before="8" w:line="504" w:lineRule="auto"/>
        <w:ind w:right="154" w:firstLine="734"/>
        <w:jc w:val="both"/>
        <w:rPr>
          <w:rFonts w:cs="Arial"/>
          <w:sz w:val="24"/>
          <w:szCs w:val="24"/>
        </w:rPr>
        <w:sectPr w:rsidR="00877813" w:rsidRPr="002C004B">
          <w:footerReference w:type="default" r:id="rId7"/>
          <w:pgSz w:w="12240" w:h="15840"/>
          <w:pgMar w:top="20" w:right="1160" w:bottom="1120" w:left="720" w:header="0" w:footer="921" w:gutter="0"/>
          <w:pgNumType w:start="2"/>
          <w:cols w:space="720"/>
        </w:sectPr>
      </w:pPr>
      <w:r w:rsidRPr="002C004B">
        <w:rPr>
          <w:rFonts w:cs="Arial"/>
          <w:sz w:val="24"/>
          <w:szCs w:val="24"/>
        </w:rPr>
        <w:t>Having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closely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examined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record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 after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full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consideration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parties'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written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submissions,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settled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view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fate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appropriately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ground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appellant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memorandum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appeal.</w:t>
      </w:r>
    </w:p>
    <w:p w:rsidR="00877813" w:rsidRPr="002C004B" w:rsidRDefault="00877813" w:rsidP="003215F7">
      <w:pPr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spacing w:before="210"/>
        <w:ind w:left="1955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It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states:</w:t>
      </w:r>
    </w:p>
    <w:p w:rsidR="00877813" w:rsidRPr="002C004B" w:rsidRDefault="00877813">
      <w:pPr>
        <w:spacing w:before="1"/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spacing w:line="377" w:lineRule="auto"/>
        <w:ind w:left="2387" w:right="1255" w:firstLine="43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arn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ourt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J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ge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law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ia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ility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ho</w:t>
      </w:r>
      <w:r w:rsidRPr="002C004B">
        <w:rPr>
          <w:rFonts w:ascii="Arial" w:hAnsi="Arial" w:cs="Arial"/>
          <w:i/>
          <w:sz w:val="24"/>
          <w:szCs w:val="24"/>
        </w:rPr>
        <w:t>ut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fy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hi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lf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rem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v</w:t>
      </w:r>
      <w:r w:rsidRPr="002C004B">
        <w:rPr>
          <w:rFonts w:ascii="Arial" w:hAnsi="Arial" w:cs="Arial"/>
          <w:i/>
          <w:sz w:val="24"/>
          <w:szCs w:val="24"/>
        </w:rPr>
        <w:t>ai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un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Law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Re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ulat</w:t>
      </w:r>
      <w:r w:rsidRPr="002C004B">
        <w:rPr>
          <w:rFonts w:ascii="Arial" w:hAnsi="Arial" w:cs="Arial"/>
          <w:i/>
          <w:sz w:val="24"/>
          <w:szCs w:val="24"/>
        </w:rPr>
        <w:t>io</w:t>
      </w:r>
      <w:r w:rsidRPr="002C004B">
        <w:rPr>
          <w:rFonts w:ascii="Arial" w:hAnsi="Arial" w:cs="Arial"/>
          <w:i/>
          <w:sz w:val="24"/>
          <w:szCs w:val="24"/>
        </w:rPr>
        <w:t>ns</w:t>
      </w:r>
      <w:r w:rsidRPr="002C004B">
        <w:rPr>
          <w:rFonts w:ascii="Arial" w:hAnsi="Arial" w:cs="Arial"/>
          <w:i/>
          <w:sz w:val="24"/>
          <w:szCs w:val="24"/>
        </w:rPr>
        <w:t>.</w:t>
      </w:r>
    </w:p>
    <w:p w:rsidR="00877813" w:rsidRPr="002C004B" w:rsidRDefault="00B62AAD">
      <w:pPr>
        <w:spacing w:before="241" w:line="504" w:lineRule="auto"/>
        <w:ind w:left="1220" w:right="100" w:firstLine="734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Mr.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Bundala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admitted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much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Hi</w:t>
      </w:r>
      <w:r w:rsidRPr="002C004B">
        <w:rPr>
          <w:rFonts w:ascii="Arial" w:hAnsi="Arial" w:cs="Arial"/>
          <w:sz w:val="24"/>
          <w:szCs w:val="24"/>
        </w:rPr>
        <w:t>gh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no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objection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was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taken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T.</w:t>
      </w:r>
      <w:r w:rsidRPr="002C004B">
        <w:rPr>
          <w:rFonts w:ascii="Arial" w:hAnsi="Arial" w:cs="Arial"/>
          <w:sz w:val="24"/>
          <w:szCs w:val="24"/>
        </w:rPr>
        <w:t>R.A.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trial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court'</w:t>
      </w:r>
      <w:r w:rsidRPr="002C004B">
        <w:rPr>
          <w:rFonts w:ascii="Arial" w:hAnsi="Arial" w:cs="Arial"/>
          <w:sz w:val="24"/>
          <w:szCs w:val="24"/>
        </w:rPr>
        <w:t>s</w:t>
      </w:r>
      <w:r w:rsidRPr="002C004B">
        <w:rPr>
          <w:rFonts w:ascii="Arial" w:hAnsi="Arial" w:cs="Arial"/>
          <w:sz w:val="24"/>
          <w:szCs w:val="24"/>
        </w:rPr>
        <w:t xml:space="preserve"> juri</w:t>
      </w:r>
      <w:r w:rsidRPr="002C004B">
        <w:rPr>
          <w:rFonts w:ascii="Arial" w:hAnsi="Arial" w:cs="Arial"/>
          <w:sz w:val="24"/>
          <w:szCs w:val="24"/>
        </w:rPr>
        <w:t>sdiction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entertain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determine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sui</w:t>
      </w:r>
      <w:r w:rsidRPr="002C004B">
        <w:rPr>
          <w:rFonts w:ascii="Arial" w:hAnsi="Arial" w:cs="Arial"/>
          <w:sz w:val="24"/>
          <w:szCs w:val="24"/>
        </w:rPr>
        <w:t>t</w:t>
      </w:r>
      <w:r w:rsidRPr="002C004B">
        <w:rPr>
          <w:rFonts w:ascii="Arial" w:hAnsi="Arial" w:cs="Arial"/>
          <w:sz w:val="24"/>
          <w:szCs w:val="24"/>
        </w:rPr>
        <w:t>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question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juri</w:t>
      </w:r>
      <w:r w:rsidRPr="002C004B">
        <w:rPr>
          <w:rFonts w:ascii="Arial" w:hAnsi="Arial" w:cs="Arial"/>
          <w:sz w:val="24"/>
          <w:szCs w:val="24"/>
        </w:rPr>
        <w:t>sdiction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can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taken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stage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proceedings,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even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appeal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held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Michael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Leseni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Kweka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v.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John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E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af</w:t>
      </w:r>
      <w:r w:rsidRPr="002C004B">
        <w:rPr>
          <w:rFonts w:ascii="Arial" w:hAnsi="Arial" w:cs="Arial"/>
          <w:b/>
          <w:sz w:val="24"/>
          <w:szCs w:val="24"/>
        </w:rPr>
        <w:t>e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>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Civ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Appeal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No.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51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997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="003215F7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Mr.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Reg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na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Abraham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Mengi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and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Mrs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Mercy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Anna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Mengi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v.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The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Loans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and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Advances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Realization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Trust,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Ci</w:t>
      </w:r>
      <w:r w:rsidRPr="002C004B">
        <w:rPr>
          <w:rFonts w:ascii="Arial" w:hAnsi="Arial" w:cs="Arial"/>
          <w:sz w:val="24"/>
          <w:szCs w:val="24"/>
        </w:rPr>
        <w:t>vil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Appeal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No.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45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2001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(All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COA</w:t>
      </w:r>
      <w:r w:rsidRPr="002C004B">
        <w:rPr>
          <w:rFonts w:ascii="Arial" w:hAnsi="Arial" w:cs="Arial"/>
          <w:sz w:val="24"/>
          <w:szCs w:val="24"/>
        </w:rPr>
        <w:t>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unreported).</w:t>
      </w:r>
    </w:p>
    <w:p w:rsidR="00877813" w:rsidRPr="002C004B" w:rsidRDefault="00B62AAD" w:rsidP="003215F7">
      <w:pPr>
        <w:pStyle w:val="BodyText"/>
        <w:spacing w:line="504" w:lineRule="auto"/>
        <w:ind w:left="1220" w:right="146" w:firstLine="734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Bundal</w:t>
      </w:r>
      <w:r w:rsidRPr="002C004B">
        <w:rPr>
          <w:rFonts w:cs="Arial"/>
          <w:sz w:val="24"/>
          <w:szCs w:val="24"/>
        </w:rPr>
        <w:t>a's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essential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submission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wrongly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assumed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jurisdiction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</w:t>
      </w:r>
      <w:r w:rsidRPr="002C004B">
        <w:rPr>
          <w:rFonts w:cs="Arial"/>
          <w:sz w:val="24"/>
          <w:szCs w:val="24"/>
        </w:rPr>
        <w:t>spute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arising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triable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 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Board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Tribunal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established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sections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88-90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involved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ability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evident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paragraphs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6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7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amended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plaint.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Moreover,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so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challenged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T.R.A.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</w:p>
    <w:p w:rsidR="00877813" w:rsidRPr="002C004B" w:rsidRDefault="00877813">
      <w:pPr>
        <w:rPr>
          <w:rFonts w:ascii="Arial" w:hAnsi="Arial" w:cs="Arial"/>
          <w:sz w:val="24"/>
          <w:szCs w:val="24"/>
        </w:rPr>
        <w:sectPr w:rsidR="00877813" w:rsidRPr="002C004B">
          <w:pgSz w:w="12240" w:h="15840"/>
          <w:pgMar w:top="140" w:right="1160" w:bottom="1120" w:left="320" w:header="0" w:footer="921" w:gutter="0"/>
          <w:cols w:space="720"/>
        </w:sectPr>
      </w:pPr>
    </w:p>
    <w:p w:rsidR="00877813" w:rsidRPr="002C004B" w:rsidRDefault="00877813">
      <w:pPr>
        <w:spacing w:before="6"/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spacing w:line="20" w:lineRule="atLeast"/>
        <w:ind w:left="117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eastAsia="Arial" w:hAnsi="Arial" w:cs="Arial"/>
          <w:sz w:val="24"/>
          <w:szCs w:val="24"/>
        </w:rPr>
      </w:r>
      <w:r w:rsidRPr="002C004B">
        <w:rPr>
          <w:rFonts w:ascii="Arial" w:eastAsia="Arial" w:hAnsi="Arial" w:cs="Arial"/>
          <w:sz w:val="24"/>
          <w:szCs w:val="24"/>
        </w:rPr>
        <w:pict>
          <v:group id="_x0000_s1033" style="width:67.7pt;height:.4pt;mso-position-horizontal-relative:char;mso-position-vertical-relative:line" coordsize="1354,8">
            <v:group id="_x0000_s1034" style="position:absolute;left:4;top:4;width:1347;height:2" coordorigin="4,4" coordsize="1347,2">
              <v:shape id="_x0000_s1035" style="position:absolute;left:4;top:4;width:1347;height:2" coordorigin="4,4" coordsize="1347,0" path="m4,4r1346,e" filled="f" strokecolor="#b3b3b3" strokeweight=".36pt">
                <v:path arrowok="t"/>
              </v:shape>
            </v:group>
            <w10:anchorlock/>
          </v:group>
        </w:pict>
      </w: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3215F7" w:rsidP="003215F7">
      <w:pPr>
        <w:pStyle w:val="BodyText"/>
        <w:spacing w:before="213" w:line="504" w:lineRule="auto"/>
        <w:ind w:left="1006" w:right="172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</w:t>
      </w:r>
      <w:r w:rsidR="00B62AAD" w:rsidRPr="002C004B">
        <w:rPr>
          <w:rFonts w:cs="Arial"/>
          <w:sz w:val="24"/>
          <w:szCs w:val="24"/>
        </w:rPr>
        <w:t>h</w:t>
      </w:r>
      <w:r w:rsidR="00B62AAD" w:rsidRPr="002C004B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ncome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Act,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973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and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</w:t>
      </w:r>
      <w:r w:rsidR="00B62AAD" w:rsidRPr="002C004B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ncome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</w:t>
      </w:r>
      <w:r w:rsidR="00B62AAD" w:rsidRPr="002C004B">
        <w:rPr>
          <w:rFonts w:cs="Arial"/>
          <w:sz w:val="24"/>
          <w:szCs w:val="24"/>
        </w:rPr>
        <w:t>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(</w:t>
      </w:r>
      <w:proofErr w:type="spellStart"/>
      <w:r w:rsidR="00B62AAD" w:rsidRPr="002C004B">
        <w:rPr>
          <w:rFonts w:cs="Arial"/>
          <w:sz w:val="24"/>
          <w:szCs w:val="24"/>
        </w:rPr>
        <w:t>Distraint</w:t>
      </w:r>
      <w:proofErr w:type="spellEnd"/>
      <w:r w:rsidR="00B62AAD" w:rsidRPr="002C004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Rules,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975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(G</w:t>
      </w:r>
      <w:r w:rsidR="00B62AAD" w:rsidRPr="002C004B">
        <w:rPr>
          <w:rFonts w:cs="Arial"/>
          <w:sz w:val="24"/>
          <w:szCs w:val="24"/>
        </w:rPr>
        <w:t>.</w:t>
      </w:r>
      <w:r w:rsidR="00B62AAD" w:rsidRPr="002C004B">
        <w:rPr>
          <w:rFonts w:cs="Arial"/>
          <w:sz w:val="24"/>
          <w:szCs w:val="24"/>
        </w:rPr>
        <w:t>N.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7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975).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That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under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sections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89(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),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89B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and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90(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)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of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ncome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Act,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authority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and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specific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forums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for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determining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di</w:t>
      </w:r>
      <w:r w:rsidR="00B62AAD" w:rsidRPr="002C004B">
        <w:rPr>
          <w:rFonts w:cs="Arial"/>
          <w:sz w:val="24"/>
          <w:szCs w:val="24"/>
        </w:rPr>
        <w:t>sputes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were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respectively,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National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Appeals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Board,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 xml:space="preserve">Zonal </w:t>
      </w:r>
      <w:r w:rsidR="00B62AAD" w:rsidRPr="002C004B">
        <w:rPr>
          <w:rFonts w:cs="Arial"/>
          <w:sz w:val="24"/>
          <w:szCs w:val="24"/>
        </w:rPr>
        <w:t>T</w:t>
      </w:r>
      <w:r w:rsidR="00B62AAD" w:rsidRPr="002C004B">
        <w:rPr>
          <w:rFonts w:cs="Arial"/>
          <w:sz w:val="24"/>
          <w:szCs w:val="24"/>
        </w:rPr>
        <w:t>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Appeals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Board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and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Appea</w:t>
      </w:r>
      <w:r w:rsidR="00B62AAD" w:rsidRPr="002C004B">
        <w:rPr>
          <w:rFonts w:cs="Arial"/>
          <w:sz w:val="24"/>
          <w:szCs w:val="24"/>
        </w:rPr>
        <w:t>l</w:t>
      </w:r>
      <w:r w:rsidR="00B62AAD" w:rsidRPr="002C004B">
        <w:rPr>
          <w:rFonts w:cs="Arial"/>
          <w:sz w:val="24"/>
          <w:szCs w:val="24"/>
        </w:rPr>
        <w:t>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Tri</w:t>
      </w:r>
      <w:r w:rsidR="00B62AAD" w:rsidRPr="002C004B">
        <w:rPr>
          <w:rFonts w:cs="Arial"/>
          <w:sz w:val="24"/>
          <w:szCs w:val="24"/>
        </w:rPr>
        <w:t>bunal.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reme</w:t>
      </w:r>
      <w:r w:rsidR="00B62AAD" w:rsidRPr="002C004B">
        <w:rPr>
          <w:rFonts w:cs="Arial"/>
          <w:sz w:val="24"/>
          <w:szCs w:val="24"/>
        </w:rPr>
        <w:t>dies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available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under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</w:t>
      </w:r>
      <w:r w:rsidR="00B62AAD" w:rsidRPr="002C004B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ncome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</w:t>
      </w:r>
      <w:r w:rsidR="00B62AAD" w:rsidRPr="002C004B">
        <w:rPr>
          <w:rFonts w:cs="Arial"/>
          <w:sz w:val="24"/>
          <w:szCs w:val="24"/>
        </w:rPr>
        <w:t>ax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Act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were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first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exhausted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respondent,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Hi</w:t>
      </w:r>
      <w:r w:rsidR="00B62AAD" w:rsidRPr="002C004B">
        <w:rPr>
          <w:rFonts w:cs="Arial"/>
          <w:sz w:val="24"/>
          <w:szCs w:val="24"/>
        </w:rPr>
        <w:t>gh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Court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was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barred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from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exercising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jurisdiction.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relied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on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Tanzania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Revenue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Authority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v.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proofErr w:type="spellStart"/>
      <w:r w:rsidR="00B62AAD" w:rsidRPr="002C004B">
        <w:rPr>
          <w:rFonts w:cs="Arial"/>
          <w:b/>
          <w:sz w:val="24"/>
          <w:szCs w:val="24"/>
        </w:rPr>
        <w:t>Kotra</w:t>
      </w:r>
      <w:proofErr w:type="spellEnd"/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Company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Ltd,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Civil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Appeal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1</w:t>
      </w:r>
      <w:r w:rsidR="00B62AAD" w:rsidRPr="002C004B">
        <w:rPr>
          <w:rFonts w:cs="Arial"/>
          <w:sz w:val="24"/>
          <w:szCs w:val="24"/>
        </w:rPr>
        <w:t>2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of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2009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and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Tanzania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Revenue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Author</w:t>
      </w:r>
      <w:r w:rsidR="00B62AAD" w:rsidRPr="002C004B">
        <w:rPr>
          <w:rFonts w:cs="Arial"/>
          <w:b/>
          <w:sz w:val="24"/>
          <w:szCs w:val="24"/>
        </w:rPr>
        <w:t>i</w:t>
      </w:r>
      <w:r w:rsidR="00B62AAD" w:rsidRPr="002C004B">
        <w:rPr>
          <w:rFonts w:cs="Arial"/>
          <w:b/>
          <w:sz w:val="24"/>
          <w:szCs w:val="24"/>
        </w:rPr>
        <w:t>ty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v.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New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proofErr w:type="spellStart"/>
      <w:r w:rsidR="00B62AAD" w:rsidRPr="002C004B">
        <w:rPr>
          <w:rFonts w:cs="Arial"/>
          <w:b/>
          <w:sz w:val="24"/>
          <w:szCs w:val="24"/>
        </w:rPr>
        <w:t>Musoma</w:t>
      </w:r>
      <w:proofErr w:type="spellEnd"/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Text</w:t>
      </w:r>
      <w:r w:rsidR="00B62AAD" w:rsidRPr="002C004B">
        <w:rPr>
          <w:rFonts w:cs="Arial"/>
          <w:b/>
          <w:sz w:val="24"/>
          <w:szCs w:val="24"/>
        </w:rPr>
        <w:t>i</w:t>
      </w:r>
      <w:r w:rsidR="00B62AAD" w:rsidRPr="002C004B">
        <w:rPr>
          <w:rFonts w:cs="Arial"/>
          <w:b/>
          <w:sz w:val="24"/>
          <w:szCs w:val="24"/>
        </w:rPr>
        <w:t>l</w:t>
      </w:r>
      <w:r w:rsidR="00B62AAD" w:rsidRPr="002C004B">
        <w:rPr>
          <w:rFonts w:cs="Arial"/>
          <w:b/>
          <w:sz w:val="24"/>
          <w:szCs w:val="24"/>
        </w:rPr>
        <w:t>es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b/>
          <w:sz w:val="24"/>
          <w:szCs w:val="24"/>
        </w:rPr>
        <w:t>Ltd;</w:t>
      </w:r>
      <w:r w:rsidR="00B62AAD" w:rsidRPr="002C004B">
        <w:rPr>
          <w:rFonts w:cs="Arial"/>
          <w:b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Civ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Appeal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93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of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2009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(All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COA,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unreported)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where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Court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stated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that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would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entertain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matter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for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which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special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forum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has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been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estab</w:t>
      </w:r>
      <w:r w:rsidR="00B62AAD" w:rsidRPr="002C004B">
        <w:rPr>
          <w:rFonts w:cs="Arial"/>
          <w:sz w:val="24"/>
          <w:szCs w:val="24"/>
        </w:rPr>
        <w:t>l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shed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by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l</w:t>
      </w:r>
      <w:r w:rsidR="00B62AAD" w:rsidRPr="002C004B">
        <w:rPr>
          <w:rFonts w:cs="Arial"/>
          <w:sz w:val="24"/>
          <w:szCs w:val="24"/>
        </w:rPr>
        <w:t>aw,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unless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aggr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eved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party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can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sat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sfy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</w:t>
      </w:r>
      <w:r w:rsidR="00B62AAD" w:rsidRPr="002C004B">
        <w:rPr>
          <w:rFonts w:cs="Arial"/>
          <w:sz w:val="24"/>
          <w:szCs w:val="24"/>
        </w:rPr>
        <w:t>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that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no appropriate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remedy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is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available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in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that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special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forum.</w:t>
      </w:r>
    </w:p>
    <w:p w:rsidR="00877813" w:rsidRPr="002C004B" w:rsidRDefault="00B62AAD" w:rsidP="003215F7">
      <w:pPr>
        <w:pStyle w:val="BodyText"/>
        <w:spacing w:line="504" w:lineRule="auto"/>
        <w:ind w:left="999" w:right="163" w:firstLine="698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apar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Bunda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submitted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also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>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open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08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only perm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recovery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right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taxpayer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challenge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evidence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satisfy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appropr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remedy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available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 should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have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first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instituted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clai</w:t>
      </w:r>
      <w:r w:rsidRPr="002C004B">
        <w:rPr>
          <w:rFonts w:cs="Arial"/>
          <w:sz w:val="24"/>
          <w:szCs w:val="24"/>
        </w:rPr>
        <w:t>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before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speci</w:t>
      </w:r>
      <w:r w:rsidRPr="002C004B">
        <w:rPr>
          <w:rFonts w:cs="Arial"/>
          <w:sz w:val="24"/>
          <w:szCs w:val="24"/>
        </w:rPr>
        <w:t>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forums</w:t>
      </w:r>
    </w:p>
    <w:p w:rsidR="00877813" w:rsidRPr="002C004B" w:rsidRDefault="00877813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footerReference w:type="default" r:id="rId8"/>
          <w:pgSz w:w="12240" w:h="15840"/>
          <w:pgMar w:top="0" w:right="1180" w:bottom="1120" w:left="520" w:header="0" w:footer="936" w:gutter="0"/>
          <w:pgNumType w:start="4"/>
          <w:cols w:space="720"/>
        </w:sectPr>
      </w:pPr>
    </w:p>
    <w:p w:rsidR="00877813" w:rsidRPr="002C004B" w:rsidRDefault="00877813" w:rsidP="003215F7">
      <w:pPr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pStyle w:val="BodyText"/>
        <w:spacing w:before="233" w:line="498" w:lineRule="auto"/>
        <w:ind w:left="884" w:right="111" w:firstLine="14"/>
        <w:rPr>
          <w:rFonts w:cs="Arial"/>
          <w:sz w:val="24"/>
          <w:szCs w:val="24"/>
        </w:rPr>
      </w:pPr>
      <w:proofErr w:type="gramStart"/>
      <w:r w:rsidRPr="002C004B">
        <w:rPr>
          <w:rFonts w:cs="Arial"/>
          <w:sz w:val="24"/>
          <w:szCs w:val="24"/>
        </w:rPr>
        <w:t>under</w:t>
      </w:r>
      <w:proofErr w:type="gram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upon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exhaustion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remedies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available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there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could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have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turned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next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civi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invited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allow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costs.</w:t>
      </w:r>
    </w:p>
    <w:p w:rsidR="00877813" w:rsidRPr="002C004B" w:rsidRDefault="00B62AAD">
      <w:pPr>
        <w:pStyle w:val="BodyText"/>
        <w:spacing w:before="24" w:line="502" w:lineRule="auto"/>
        <w:ind w:left="863" w:right="192" w:firstLine="739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Resistin</w:t>
      </w:r>
      <w:r w:rsidRPr="002C004B">
        <w:rPr>
          <w:rFonts w:cs="Arial"/>
          <w:sz w:val="24"/>
          <w:szCs w:val="24"/>
        </w:rPr>
        <w:t>g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O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hhay-Sang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ka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>ceded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ques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</w:t>
      </w:r>
      <w:r w:rsidRPr="002C004B">
        <w:rPr>
          <w:rFonts w:cs="Arial"/>
          <w:sz w:val="24"/>
          <w:szCs w:val="24"/>
        </w:rPr>
        <w:t>sdiction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most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"</w:t>
      </w:r>
      <w:proofErr w:type="spellStart"/>
      <w:r w:rsidRPr="002C004B">
        <w:rPr>
          <w:rFonts w:cs="Arial"/>
          <w:sz w:val="24"/>
          <w:szCs w:val="24"/>
        </w:rPr>
        <w:t>bitting</w:t>
      </w:r>
      <w:proofErr w:type="spellEnd"/>
      <w:r w:rsidRPr="002C004B">
        <w:rPr>
          <w:rFonts w:cs="Arial"/>
          <w:sz w:val="24"/>
          <w:szCs w:val="24"/>
        </w:rPr>
        <w:t xml:space="preserve">"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However,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strenuously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submitted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stage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question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cannot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enterta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given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ne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objected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written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statement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defence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co-defendants.</w:t>
      </w:r>
    </w:p>
    <w:p w:rsidR="00877813" w:rsidRPr="002C004B" w:rsidRDefault="00B62AAD">
      <w:pPr>
        <w:spacing w:before="11" w:line="498" w:lineRule="auto"/>
        <w:ind w:left="856" w:right="199" w:firstLine="739"/>
        <w:jc w:val="both"/>
        <w:rPr>
          <w:rFonts w:ascii="Arial" w:eastAsia="Times New Roman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Mr.</w:t>
      </w:r>
      <w:r w:rsidRPr="002C00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sz w:val="24"/>
          <w:szCs w:val="24"/>
        </w:rPr>
        <w:t>Ohhay-Sang'ka</w:t>
      </w:r>
      <w:proofErr w:type="spellEnd"/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went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submit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High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Court's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jurisd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ct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on,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which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shoul</w:t>
      </w:r>
      <w:r w:rsidRPr="002C004B">
        <w:rPr>
          <w:rFonts w:ascii="Arial" w:hAnsi="Arial" w:cs="Arial"/>
          <w:sz w:val="24"/>
          <w:szCs w:val="24"/>
        </w:rPr>
        <w:t>d jealously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guard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not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lightly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oust,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had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not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been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specifically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ousted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</w:t>
      </w:r>
      <w:r w:rsidRPr="002C004B">
        <w:rPr>
          <w:rFonts w:ascii="Arial" w:hAnsi="Arial" w:cs="Arial"/>
          <w:sz w:val="24"/>
          <w:szCs w:val="24"/>
        </w:rPr>
        <w:t>e</w:t>
      </w:r>
      <w:r w:rsidR="003215F7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ncome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Tax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Act.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rel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ed on</w:t>
      </w:r>
      <w:r w:rsidRPr="002C00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Gosbert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Mujumuzi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v.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D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h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mu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a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Matende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[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969]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H</w:t>
      </w:r>
      <w:r w:rsidRPr="002C004B">
        <w:rPr>
          <w:rFonts w:ascii="Arial" w:hAnsi="Arial" w:cs="Arial"/>
          <w:b/>
          <w:sz w:val="24"/>
          <w:szCs w:val="24"/>
        </w:rPr>
        <w:t>.</w:t>
      </w:r>
      <w:r w:rsidRPr="002C004B">
        <w:rPr>
          <w:rFonts w:ascii="Arial" w:hAnsi="Arial" w:cs="Arial"/>
          <w:b/>
          <w:sz w:val="24"/>
          <w:szCs w:val="24"/>
        </w:rPr>
        <w:t>C.D.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1</w:t>
      </w:r>
      <w:r w:rsidRPr="002C004B">
        <w:rPr>
          <w:rFonts w:ascii="Arial" w:hAnsi="Arial" w:cs="Arial"/>
          <w:b/>
          <w:sz w:val="24"/>
          <w:szCs w:val="24"/>
        </w:rPr>
        <w:t>38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</w:t>
      </w:r>
      <w:r w:rsidRPr="002C004B">
        <w:rPr>
          <w:rFonts w:ascii="Arial" w:hAnsi="Arial" w:cs="Arial"/>
          <w:b/>
          <w:sz w:val="24"/>
          <w:szCs w:val="24"/>
        </w:rPr>
        <w:t>n</w:t>
      </w:r>
      <w:r w:rsidRPr="002C004B">
        <w:rPr>
          <w:rFonts w:ascii="Arial" w:hAnsi="Arial" w:cs="Arial"/>
          <w:b/>
          <w:sz w:val="24"/>
          <w:szCs w:val="24"/>
        </w:rPr>
        <w:t>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Mtenga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v.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U</w:t>
      </w:r>
      <w:r w:rsidRPr="002C004B">
        <w:rPr>
          <w:rFonts w:ascii="Arial" w:hAnsi="Arial" w:cs="Arial"/>
          <w:b/>
          <w:sz w:val="24"/>
          <w:szCs w:val="24"/>
        </w:rPr>
        <w:t>n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vers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ty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of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D</w:t>
      </w:r>
      <w:r w:rsidRPr="002C004B">
        <w:rPr>
          <w:rFonts w:ascii="Arial" w:hAnsi="Arial" w:cs="Arial"/>
          <w:b/>
          <w:sz w:val="24"/>
          <w:szCs w:val="24"/>
        </w:rPr>
        <w:t>ar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es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Salaam</w:t>
      </w:r>
      <w:r w:rsidR="003215F7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[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97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]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H.C.D.</w:t>
      </w:r>
      <w:r w:rsidR="003215F7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247.</w:t>
      </w:r>
    </w:p>
    <w:p w:rsidR="00877813" w:rsidRPr="002C004B" w:rsidRDefault="00B62AAD">
      <w:pPr>
        <w:pStyle w:val="BodyText"/>
        <w:spacing w:before="5" w:line="503" w:lineRule="auto"/>
        <w:ind w:left="870" w:right="187" w:firstLine="732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contended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pure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dispute.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Centrally,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damages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arising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unlawfully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ssuance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distress,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hoax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documen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occas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oss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cles.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comple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sdiction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spute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nvolved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award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damages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unlawful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distrai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could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also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</w:p>
    <w:p w:rsidR="00877813" w:rsidRPr="002C004B" w:rsidRDefault="00877813">
      <w:pPr>
        <w:spacing w:line="503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pgSz w:w="12240" w:h="15840"/>
          <w:pgMar w:top="20" w:right="1140" w:bottom="1160" w:left="680" w:header="0" w:footer="936" w:gutter="0"/>
          <w:cols w:space="720"/>
        </w:sectPr>
      </w:pPr>
    </w:p>
    <w:p w:rsidR="00877813" w:rsidRPr="002C004B" w:rsidRDefault="00B62AAD">
      <w:pPr>
        <w:pStyle w:val="BodyText"/>
        <w:spacing w:before="40" w:line="503" w:lineRule="auto"/>
        <w:ind w:left="102" w:right="127" w:firstLine="7"/>
        <w:jc w:val="both"/>
        <w:rPr>
          <w:rFonts w:cs="Arial"/>
          <w:sz w:val="24"/>
          <w:szCs w:val="24"/>
        </w:rPr>
      </w:pPr>
      <w:proofErr w:type="gramStart"/>
      <w:r w:rsidRPr="002C004B">
        <w:rPr>
          <w:rFonts w:cs="Arial"/>
          <w:sz w:val="24"/>
          <w:szCs w:val="24"/>
        </w:rPr>
        <w:lastRenderedPageBreak/>
        <w:t>have</w:t>
      </w:r>
      <w:proofErr w:type="gram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prov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sions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grant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right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damages.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bar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civi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jurisdiction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non-tax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matters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executed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outside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aw,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half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years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after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invalid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ssuance.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authorit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cited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T.R.A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submitte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decided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before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effect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Revenue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Cap.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408,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effect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0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/07/2001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(G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N.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26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29/06/2001</w:t>
      </w:r>
      <w:r w:rsidRPr="002C004B">
        <w:rPr>
          <w:rFonts w:cs="Arial"/>
          <w:sz w:val="24"/>
          <w:szCs w:val="24"/>
        </w:rPr>
        <w:t>).</w:t>
      </w:r>
    </w:p>
    <w:p w:rsidR="00877813" w:rsidRPr="002C004B" w:rsidRDefault="00B62AAD">
      <w:pPr>
        <w:pStyle w:val="BodyText"/>
        <w:spacing w:before="12" w:line="504" w:lineRule="auto"/>
        <w:ind w:left="102" w:right="132" w:firstLine="712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We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now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advert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merits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ground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memorandum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appeal.</w:t>
      </w:r>
    </w:p>
    <w:p w:rsidR="00877813" w:rsidRPr="002C004B" w:rsidRDefault="00B62AAD">
      <w:pPr>
        <w:spacing w:line="504" w:lineRule="auto"/>
        <w:ind w:left="123" w:firstLine="676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b/>
          <w:sz w:val="24"/>
          <w:szCs w:val="24"/>
        </w:rPr>
        <w:t>'Jur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sd</w:t>
      </w:r>
      <w:r w:rsidRPr="002C004B">
        <w:rPr>
          <w:rFonts w:ascii="Arial" w:hAnsi="Arial" w:cs="Arial"/>
          <w:b/>
          <w:sz w:val="24"/>
          <w:szCs w:val="24"/>
        </w:rPr>
        <w:t>i</w:t>
      </w:r>
      <w:r w:rsidRPr="002C004B">
        <w:rPr>
          <w:rFonts w:ascii="Arial" w:hAnsi="Arial" w:cs="Arial"/>
          <w:b/>
          <w:sz w:val="24"/>
          <w:szCs w:val="24"/>
        </w:rPr>
        <w:t>ction'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defined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Ha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sbury's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Laws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of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E</w:t>
      </w:r>
      <w:r w:rsidRPr="002C004B">
        <w:rPr>
          <w:rFonts w:ascii="Arial" w:hAnsi="Arial" w:cs="Arial"/>
          <w:b/>
          <w:sz w:val="24"/>
          <w:szCs w:val="24"/>
        </w:rPr>
        <w:t>n</w:t>
      </w:r>
      <w:r w:rsidRPr="002C004B">
        <w:rPr>
          <w:rFonts w:ascii="Arial" w:hAnsi="Arial" w:cs="Arial"/>
          <w:b/>
          <w:sz w:val="24"/>
          <w:szCs w:val="24"/>
        </w:rPr>
        <w:t>g</w:t>
      </w:r>
      <w:r w:rsidRPr="002C004B">
        <w:rPr>
          <w:rFonts w:ascii="Arial" w:hAnsi="Arial" w:cs="Arial"/>
          <w:b/>
          <w:sz w:val="24"/>
          <w:szCs w:val="24"/>
        </w:rPr>
        <w:t>l</w:t>
      </w:r>
      <w:r w:rsidRPr="002C004B">
        <w:rPr>
          <w:rFonts w:ascii="Arial" w:hAnsi="Arial" w:cs="Arial"/>
          <w:b/>
          <w:sz w:val="24"/>
          <w:szCs w:val="24"/>
        </w:rPr>
        <w:t>and,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Vol.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0,</w:t>
      </w:r>
      <w:r w:rsidRPr="002C00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004B">
        <w:rPr>
          <w:rFonts w:ascii="Arial" w:hAnsi="Arial" w:cs="Arial"/>
          <w:sz w:val="24"/>
          <w:szCs w:val="24"/>
        </w:rPr>
        <w:t>para</w:t>
      </w:r>
      <w:proofErr w:type="gramEnd"/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3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4 to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mean:</w:t>
      </w:r>
    </w:p>
    <w:p w:rsidR="00877813" w:rsidRPr="002C004B" w:rsidRDefault="00B62AAD">
      <w:pPr>
        <w:spacing w:line="376" w:lineRule="auto"/>
        <w:ind w:left="1268" w:right="1228" w:firstLine="36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b/>
          <w:i/>
          <w:sz w:val="24"/>
          <w:szCs w:val="24"/>
        </w:rPr>
        <w:t>"</w:t>
      </w:r>
      <w:proofErr w:type="gramStart"/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he</w:t>
      </w:r>
      <w:proofErr w:type="gramEnd"/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r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ty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w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to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ers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at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are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lit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gated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bef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re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ke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gn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z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mat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ers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pr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r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b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formal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way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f</w:t>
      </w:r>
      <w:r w:rsidRPr="002C004B">
        <w:rPr>
          <w:rFonts w:ascii="Arial" w:hAnsi="Arial" w:cs="Arial"/>
          <w:b/>
          <w:i/>
          <w:sz w:val="24"/>
          <w:szCs w:val="24"/>
        </w:rPr>
        <w:t>or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its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de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on.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l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m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ority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are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mp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the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tu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;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mm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er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wh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on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it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d,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may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exten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r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rai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mi</w:t>
      </w:r>
      <w:r w:rsidRPr="002C004B">
        <w:rPr>
          <w:rFonts w:ascii="Arial" w:hAnsi="Arial" w:cs="Arial"/>
          <w:b/>
          <w:i/>
          <w:sz w:val="24"/>
          <w:szCs w:val="24"/>
        </w:rPr>
        <w:t>l</w:t>
      </w:r>
      <w:r w:rsidRPr="002C004B">
        <w:rPr>
          <w:rFonts w:ascii="Arial" w:hAnsi="Arial" w:cs="Arial"/>
          <w:b/>
          <w:i/>
          <w:sz w:val="24"/>
          <w:szCs w:val="24"/>
        </w:rPr>
        <w:t>ar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me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.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limi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may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eit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er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ki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nat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l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m</w:t>
      </w:r>
      <w:r w:rsidRPr="002C004B">
        <w:rPr>
          <w:rFonts w:ascii="Arial" w:hAnsi="Arial" w:cs="Arial"/>
          <w:b/>
          <w:i/>
          <w:sz w:val="24"/>
          <w:szCs w:val="24"/>
        </w:rPr>
        <w:t>,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ar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wh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j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risd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on</w:t>
      </w:r>
    </w:p>
    <w:p w:rsidR="00877813" w:rsidRPr="002C004B" w:rsidRDefault="00877813">
      <w:pPr>
        <w:spacing w:line="376" w:lineRule="auto"/>
        <w:jc w:val="both"/>
        <w:rPr>
          <w:rFonts w:ascii="Arial" w:eastAsia="Arial" w:hAnsi="Arial" w:cs="Arial"/>
          <w:sz w:val="24"/>
          <w:szCs w:val="24"/>
        </w:rPr>
        <w:sectPr w:rsidR="00877813" w:rsidRPr="002C004B">
          <w:pgSz w:w="12240" w:h="15840"/>
          <w:pgMar w:top="1020" w:right="1180" w:bottom="1100" w:left="1460" w:header="0" w:footer="936" w:gutter="0"/>
          <w:cols w:space="720"/>
        </w:sectPr>
      </w:pPr>
    </w:p>
    <w:p w:rsidR="00877813" w:rsidRPr="002C004B" w:rsidRDefault="00877813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77813" w:rsidRPr="002C004B" w:rsidRDefault="00877813">
      <w:pPr>
        <w:spacing w:line="20" w:lineRule="atLeast"/>
        <w:ind w:left="102"/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77813" w:rsidRPr="002C004B" w:rsidRDefault="00B62AAD">
      <w:pPr>
        <w:spacing w:before="206" w:line="362" w:lineRule="auto"/>
        <w:ind w:left="1825" w:right="122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C004B">
        <w:rPr>
          <w:rFonts w:ascii="Arial" w:hAnsi="Arial" w:cs="Arial"/>
          <w:b/>
          <w:i/>
          <w:sz w:val="24"/>
          <w:szCs w:val="24"/>
        </w:rPr>
        <w:t>ext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ed</w:t>
      </w:r>
      <w:proofErr w:type="gramEnd"/>
      <w:r w:rsidRPr="002C004B">
        <w:rPr>
          <w:rFonts w:ascii="Arial" w:hAnsi="Arial" w:cs="Arial"/>
          <w:b/>
          <w:i/>
          <w:sz w:val="24"/>
          <w:szCs w:val="24"/>
        </w:rPr>
        <w:t>,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may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partake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both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these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har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er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pha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"</w:t>
      </w:r>
    </w:p>
    <w:p w:rsidR="00877813" w:rsidRPr="002C004B" w:rsidRDefault="00B62AAD">
      <w:pPr>
        <w:pStyle w:val="BodyText"/>
        <w:spacing w:before="251" w:line="502" w:lineRule="auto"/>
        <w:ind w:left="662" w:right="115" w:firstLine="717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Principally,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</w:t>
      </w:r>
      <w:r w:rsidRPr="002C004B">
        <w:rPr>
          <w:rFonts w:cs="Arial"/>
          <w:sz w:val="24"/>
          <w:szCs w:val="24"/>
        </w:rPr>
        <w:t>sdicti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threshol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question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ought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raised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taken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up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ear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 xml:space="preserve">opportunity,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save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time,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costs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avoid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eventual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nullity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proceedings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event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sustained.</w:t>
      </w:r>
    </w:p>
    <w:p w:rsidR="00877813" w:rsidRPr="002C004B" w:rsidRDefault="00B62AAD">
      <w:pPr>
        <w:spacing w:before="12" w:line="503" w:lineRule="auto"/>
        <w:ind w:left="648" w:right="127" w:firstLine="703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l</w:t>
      </w:r>
      <w:r w:rsidRPr="002C004B">
        <w:rPr>
          <w:rFonts w:ascii="Arial" w:hAnsi="Arial" w:cs="Arial"/>
          <w:sz w:val="24"/>
          <w:szCs w:val="24"/>
        </w:rPr>
        <w:t>aw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well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settled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M</w:t>
      </w:r>
      <w:r w:rsidRPr="002C004B">
        <w:rPr>
          <w:rFonts w:ascii="Arial" w:hAnsi="Arial" w:cs="Arial"/>
          <w:sz w:val="24"/>
          <w:szCs w:val="24"/>
        </w:rPr>
        <w:t>r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Bunda</w:t>
      </w:r>
      <w:r w:rsidRPr="002C004B">
        <w:rPr>
          <w:rFonts w:ascii="Arial" w:hAnsi="Arial" w:cs="Arial"/>
          <w:sz w:val="24"/>
          <w:szCs w:val="24"/>
        </w:rPr>
        <w:t>l</w:t>
      </w:r>
      <w:r w:rsidRPr="002C004B">
        <w:rPr>
          <w:rFonts w:ascii="Arial" w:hAnsi="Arial" w:cs="Arial"/>
          <w:sz w:val="24"/>
          <w:szCs w:val="24"/>
        </w:rPr>
        <w:t>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perfectly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correct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question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jur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sd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ct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can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belatedly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raised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canvassed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even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appeal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part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es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or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</w:t>
      </w:r>
      <w:r w:rsidRPr="002C00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o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mo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goes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root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tri</w:t>
      </w:r>
      <w:r w:rsidRPr="002C004B">
        <w:rPr>
          <w:rFonts w:ascii="Arial" w:hAnsi="Arial" w:cs="Arial"/>
          <w:sz w:val="24"/>
          <w:szCs w:val="24"/>
        </w:rPr>
        <w:t>al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(See,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Mi</w:t>
      </w:r>
      <w:r w:rsidRPr="002C004B">
        <w:rPr>
          <w:rFonts w:ascii="Arial" w:hAnsi="Arial" w:cs="Arial"/>
          <w:b/>
          <w:sz w:val="24"/>
          <w:szCs w:val="24"/>
        </w:rPr>
        <w:t>chael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Leseni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Kweka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>;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Kotra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Company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Ltd</w:t>
      </w:r>
      <w:r w:rsidRPr="002C004B">
        <w:rPr>
          <w:rFonts w:ascii="Arial" w:hAnsi="Arial" w:cs="Arial"/>
          <w:b/>
          <w:sz w:val="24"/>
          <w:szCs w:val="24"/>
        </w:rPr>
        <w:t>;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New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Musoma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Texti</w:t>
      </w:r>
      <w:r w:rsidRPr="002C004B">
        <w:rPr>
          <w:rFonts w:ascii="Arial" w:hAnsi="Arial" w:cs="Arial"/>
          <w:b/>
          <w:sz w:val="24"/>
          <w:szCs w:val="24"/>
        </w:rPr>
        <w:t>les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Ltd.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cases,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upra).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Jurisdiction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bedrock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which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court's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authority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competence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to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entertai</w:t>
      </w:r>
      <w:r w:rsidRPr="002C004B">
        <w:rPr>
          <w:rFonts w:ascii="Arial" w:hAnsi="Arial" w:cs="Arial"/>
          <w:sz w:val="24"/>
          <w:szCs w:val="24"/>
        </w:rPr>
        <w:t>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decide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matters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rests.</w:t>
      </w:r>
    </w:p>
    <w:p w:rsidR="00877813" w:rsidRPr="002C004B" w:rsidRDefault="00B62AAD">
      <w:pPr>
        <w:pStyle w:val="BodyText"/>
        <w:spacing w:line="499" w:lineRule="auto"/>
        <w:ind w:left="648" w:right="122" w:firstLine="703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,</w:t>
      </w:r>
      <w:r w:rsidR="004E606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7(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 Civil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Procedure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Code,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Cap.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33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E.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2002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ought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main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starting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point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resolving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"</w:t>
      </w:r>
      <w:proofErr w:type="spellStart"/>
      <w:r w:rsidRPr="002C004B">
        <w:rPr>
          <w:rFonts w:cs="Arial"/>
          <w:sz w:val="24"/>
          <w:szCs w:val="24"/>
        </w:rPr>
        <w:t>bitting</w:t>
      </w:r>
      <w:proofErr w:type="spellEnd"/>
      <w:r w:rsidRPr="002C004B">
        <w:rPr>
          <w:rFonts w:cs="Arial"/>
          <w:sz w:val="24"/>
          <w:szCs w:val="24"/>
        </w:rPr>
        <w:t>"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issue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</w:t>
      </w:r>
      <w:r w:rsidRPr="002C004B">
        <w:rPr>
          <w:rFonts w:cs="Arial"/>
          <w:sz w:val="24"/>
          <w:szCs w:val="24"/>
        </w:rPr>
        <w:t>sdiction.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provides:</w:t>
      </w:r>
    </w:p>
    <w:p w:rsidR="00877813" w:rsidRPr="002C004B" w:rsidRDefault="00B62AAD" w:rsidP="004E6067">
      <w:pPr>
        <w:spacing w:line="305" w:lineRule="exact"/>
        <w:ind w:left="1811" w:firstLine="35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b/>
          <w:i/>
          <w:sz w:val="24"/>
          <w:szCs w:val="24"/>
        </w:rPr>
        <w:t>"The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our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hall</w:t>
      </w:r>
      <w:r w:rsidR="003215F7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bj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="003215F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="003215F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prov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="003215F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in</w:t>
      </w:r>
      <w:r w:rsidR="004E606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ha</w:t>
      </w:r>
      <w:r w:rsidRPr="002C004B">
        <w:rPr>
          <w:rFonts w:ascii="Arial" w:hAnsi="Arial" w:cs="Arial"/>
          <w:b/>
          <w:i/>
          <w:sz w:val="24"/>
          <w:szCs w:val="24"/>
        </w:rPr>
        <w:t>v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j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sd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ry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all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its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v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l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nat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re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ex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pting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u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of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wh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h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heir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gn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z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is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ther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x</w:t>
      </w:r>
      <w:r w:rsidRPr="002C004B">
        <w:rPr>
          <w:rFonts w:ascii="Arial" w:hAnsi="Arial" w:cs="Arial"/>
          <w:b/>
          <w:i/>
          <w:sz w:val="24"/>
          <w:szCs w:val="24"/>
        </w:rPr>
        <w:t>pre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ly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or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mp</w:t>
      </w:r>
      <w:r w:rsidRPr="002C004B">
        <w:rPr>
          <w:rFonts w:ascii="Arial" w:hAnsi="Arial" w:cs="Arial"/>
          <w:b/>
          <w:i/>
          <w:sz w:val="24"/>
          <w:szCs w:val="24"/>
        </w:rPr>
        <w:t>l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dly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b</w:t>
      </w:r>
      <w:r w:rsidRPr="002C004B">
        <w:rPr>
          <w:rFonts w:ascii="Arial" w:hAnsi="Arial" w:cs="Arial"/>
          <w:b/>
          <w:i/>
          <w:sz w:val="24"/>
          <w:szCs w:val="24"/>
        </w:rPr>
        <w:t>arr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d</w:t>
      </w:r>
      <w:r w:rsidRPr="002C004B">
        <w:rPr>
          <w:rFonts w:ascii="Arial" w:hAnsi="Arial" w:cs="Arial"/>
          <w:b/>
          <w:i/>
          <w:sz w:val="24"/>
          <w:szCs w:val="24"/>
        </w:rPr>
        <w:t>"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>.</w:t>
      </w:r>
    </w:p>
    <w:p w:rsidR="00877813" w:rsidRPr="002C004B" w:rsidRDefault="00877813">
      <w:pPr>
        <w:spacing w:line="369" w:lineRule="auto"/>
        <w:jc w:val="both"/>
        <w:rPr>
          <w:rFonts w:ascii="Arial" w:eastAsia="Arial" w:hAnsi="Arial" w:cs="Arial"/>
          <w:sz w:val="24"/>
          <w:szCs w:val="24"/>
        </w:rPr>
        <w:sectPr w:rsidR="00877813" w:rsidRPr="002C004B">
          <w:pgSz w:w="12240" w:h="15840"/>
          <w:pgMar w:top="40" w:right="1160" w:bottom="1120" w:left="960" w:header="0" w:footer="936" w:gutter="0"/>
          <w:cols w:space="720"/>
        </w:sectPr>
      </w:pPr>
    </w:p>
    <w:p w:rsidR="00877813" w:rsidRPr="002C004B" w:rsidRDefault="00B62AAD">
      <w:pPr>
        <w:spacing w:before="53" w:line="500" w:lineRule="auto"/>
        <w:ind w:left="103" w:right="142" w:firstLine="720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lastRenderedPageBreak/>
        <w:t>Sect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7(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)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our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Civil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Procedure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Code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an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import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sect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9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</w:t>
      </w:r>
      <w:r w:rsidRPr="002C004B">
        <w:rPr>
          <w:rFonts w:ascii="Arial" w:hAnsi="Arial" w:cs="Arial"/>
          <w:sz w:val="24"/>
          <w:szCs w:val="24"/>
        </w:rPr>
        <w:t>e</w:t>
      </w:r>
      <w:r w:rsidR="004E6067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nd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an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Civ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l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Procedure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Cod</w:t>
      </w:r>
      <w:r w:rsidRPr="002C004B">
        <w:rPr>
          <w:rFonts w:ascii="Arial" w:hAnsi="Arial" w:cs="Arial"/>
          <w:sz w:val="24"/>
          <w:szCs w:val="24"/>
        </w:rPr>
        <w:t>e</w:t>
      </w:r>
      <w:r w:rsidRPr="002C004B">
        <w:rPr>
          <w:rFonts w:ascii="Arial" w:hAnsi="Arial" w:cs="Arial"/>
          <w:sz w:val="24"/>
          <w:szCs w:val="24"/>
        </w:rPr>
        <w:t>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908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The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General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Manager,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of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Telecommuni</w:t>
      </w:r>
      <w:r w:rsidRPr="002C004B">
        <w:rPr>
          <w:rFonts w:ascii="Arial" w:hAnsi="Arial" w:cs="Arial"/>
          <w:b/>
          <w:sz w:val="24"/>
          <w:szCs w:val="24"/>
        </w:rPr>
        <w:t>cati</w:t>
      </w:r>
      <w:r w:rsidRPr="002C004B">
        <w:rPr>
          <w:rFonts w:ascii="Arial" w:hAnsi="Arial" w:cs="Arial"/>
          <w:b/>
          <w:sz w:val="24"/>
          <w:szCs w:val="24"/>
        </w:rPr>
        <w:t>ons</w:t>
      </w:r>
      <w:r w:rsidRPr="002C004B">
        <w:rPr>
          <w:rFonts w:ascii="Arial" w:hAnsi="Arial" w:cs="Arial"/>
          <w:b/>
          <w:sz w:val="24"/>
          <w:szCs w:val="24"/>
        </w:rPr>
        <w:t>,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Thiruvanaathapuram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Department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v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Jacob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and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sz w:val="24"/>
          <w:szCs w:val="24"/>
        </w:rPr>
        <w:t>Ors</w:t>
      </w:r>
      <w:proofErr w:type="spellEnd"/>
      <w:r w:rsidRPr="002C004B">
        <w:rPr>
          <w:rFonts w:ascii="Arial" w:hAnsi="Arial" w:cs="Arial"/>
          <w:b/>
          <w:sz w:val="24"/>
          <w:szCs w:val="24"/>
        </w:rPr>
        <w:t>.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[2003</w:t>
      </w:r>
      <w:r w:rsidRPr="002C004B">
        <w:rPr>
          <w:rFonts w:ascii="Arial" w:hAnsi="Arial" w:cs="Arial"/>
          <w:sz w:val="24"/>
          <w:szCs w:val="24"/>
        </w:rPr>
        <w:t>]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NSC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96,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Supreme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Court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</w:t>
      </w:r>
      <w:r w:rsidRPr="002C004B">
        <w:rPr>
          <w:rFonts w:ascii="Arial" w:hAnsi="Arial" w:cs="Arial"/>
          <w:sz w:val="24"/>
          <w:szCs w:val="24"/>
        </w:rPr>
        <w:t>f</w:t>
      </w:r>
      <w:r w:rsidR="004E6067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nd</w:t>
      </w:r>
      <w:r w:rsidRPr="002C004B">
        <w:rPr>
          <w:rFonts w:ascii="Arial" w:hAnsi="Arial" w:cs="Arial"/>
          <w:sz w:val="24"/>
          <w:szCs w:val="24"/>
        </w:rPr>
        <w:t>i</w:t>
      </w:r>
      <w:r w:rsidRPr="002C004B">
        <w:rPr>
          <w:rFonts w:ascii="Arial" w:hAnsi="Arial" w:cs="Arial"/>
          <w:sz w:val="24"/>
          <w:szCs w:val="24"/>
        </w:rPr>
        <w:t>a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exp</w:t>
      </w:r>
      <w:r w:rsidRPr="002C004B">
        <w:rPr>
          <w:rFonts w:ascii="Arial" w:hAnsi="Arial" w:cs="Arial"/>
          <w:sz w:val="24"/>
          <w:szCs w:val="24"/>
        </w:rPr>
        <w:t>l</w:t>
      </w:r>
      <w:r w:rsidRPr="002C004B">
        <w:rPr>
          <w:rFonts w:ascii="Arial" w:hAnsi="Arial" w:cs="Arial"/>
          <w:sz w:val="24"/>
          <w:szCs w:val="24"/>
        </w:rPr>
        <w:t>ain</w:t>
      </w:r>
      <w:r w:rsidRPr="002C004B">
        <w:rPr>
          <w:rFonts w:ascii="Arial" w:hAnsi="Arial" w:cs="Arial"/>
          <w:sz w:val="24"/>
          <w:szCs w:val="24"/>
        </w:rPr>
        <w:t>e</w:t>
      </w:r>
      <w:r w:rsidRPr="002C004B">
        <w:rPr>
          <w:rFonts w:ascii="Arial" w:hAnsi="Arial" w:cs="Arial"/>
          <w:sz w:val="24"/>
          <w:szCs w:val="24"/>
        </w:rPr>
        <w:t>d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scope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that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section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this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way:</w:t>
      </w:r>
    </w:p>
    <w:p w:rsidR="00877813" w:rsidRPr="002C004B" w:rsidRDefault="00B62AAD" w:rsidP="004E6067">
      <w:pPr>
        <w:spacing w:before="15" w:line="375" w:lineRule="auto"/>
        <w:ind w:left="1255" w:right="1248" w:firstLine="43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''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at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ourt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juri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ivil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nature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xcl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ive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="004E606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jur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ivil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ourt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not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ed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ither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ly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ovin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ai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&amp;</w:t>
      </w:r>
      <w:r w:rsidRPr="002C00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s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[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8]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2</w:t>
      </w:r>
      <w:r w:rsidRPr="002C004B">
        <w:rPr>
          <w:rFonts w:ascii="Arial" w:hAnsi="Arial" w:cs="Arial"/>
          <w:i/>
          <w:sz w:val="24"/>
          <w:szCs w:val="24"/>
        </w:rPr>
        <w:t>0</w:t>
      </w:r>
      <w:r w:rsidRPr="002C004B">
        <w:rPr>
          <w:rFonts w:ascii="Arial" w:hAnsi="Arial" w:cs="Arial"/>
          <w:i/>
          <w:sz w:val="24"/>
          <w:szCs w:val="24"/>
        </w:rPr>
        <w:t>2</w:t>
      </w:r>
      <w:r w:rsidRPr="002C004B">
        <w:rPr>
          <w:rFonts w:ascii="Arial" w:hAnsi="Arial" w:cs="Arial"/>
          <w:i/>
          <w:sz w:val="24"/>
          <w:szCs w:val="24"/>
        </w:rPr>
        <w:t>;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4</w:t>
      </w:r>
      <w:r w:rsidRPr="002C004B">
        <w:rPr>
          <w:rFonts w:ascii="Arial" w:hAnsi="Arial" w:cs="Arial"/>
          <w:i/>
          <w:sz w:val="24"/>
          <w:szCs w:val="24"/>
        </w:rPr>
        <w:t>3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="004E606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ara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>7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ss</w:t>
      </w:r>
      <w:r w:rsidRPr="002C004B">
        <w:rPr>
          <w:rFonts w:ascii="Arial" w:hAnsi="Arial" w:cs="Arial"/>
          <w:i/>
          <w:sz w:val="24"/>
          <w:szCs w:val="24"/>
        </w:rPr>
        <w:t>ary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imp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rin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ruc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whi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 xml:space="preserve">s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tu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cl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de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j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 xml:space="preserve">a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ivil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t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wou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ss</w:t>
      </w:r>
      <w:r w:rsidRPr="002C004B">
        <w:rPr>
          <w:rFonts w:ascii="Arial" w:hAnsi="Arial" w:cs="Arial"/>
          <w:i/>
          <w:sz w:val="24"/>
          <w:szCs w:val="24"/>
        </w:rPr>
        <w:t>ari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inf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ri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ple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rei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De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aji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v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anpa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al</w:t>
      </w:r>
      <w:proofErr w:type="spellEnd"/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[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8}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7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;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5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0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ls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rovis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law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j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ivil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ourt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us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ric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ly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ra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li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arty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k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g"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>(</w:t>
      </w:r>
      <w:proofErr w:type="gramEnd"/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ls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04B">
        <w:rPr>
          <w:rFonts w:ascii="Arial" w:hAnsi="Arial" w:cs="Arial"/>
          <w:b/>
          <w:i/>
          <w:sz w:val="24"/>
          <w:szCs w:val="24"/>
        </w:rPr>
        <w:t>An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min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proofErr w:type="spellEnd"/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v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F</w:t>
      </w:r>
      <w:r w:rsidRPr="002C004B">
        <w:rPr>
          <w:rFonts w:ascii="Arial" w:hAnsi="Arial" w:cs="Arial"/>
          <w:b/>
          <w:i/>
          <w:sz w:val="24"/>
          <w:szCs w:val="24"/>
        </w:rPr>
        <w:t>ore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g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</w:t>
      </w:r>
      <w:r w:rsidRPr="002C004B">
        <w:rPr>
          <w:rFonts w:ascii="Arial" w:hAnsi="Arial" w:cs="Arial"/>
          <w:b/>
          <w:i/>
          <w:sz w:val="24"/>
          <w:szCs w:val="24"/>
        </w:rPr>
        <w:t>mp</w:t>
      </w:r>
      <w:r w:rsidRPr="002C004B">
        <w:rPr>
          <w:rFonts w:ascii="Arial" w:hAnsi="Arial" w:cs="Arial"/>
          <w:b/>
          <w:i/>
          <w:sz w:val="24"/>
          <w:szCs w:val="24"/>
        </w:rPr>
        <w:t>e</w:t>
      </w:r>
      <w:r w:rsidRPr="002C004B">
        <w:rPr>
          <w:rFonts w:ascii="Arial" w:hAnsi="Arial" w:cs="Arial"/>
          <w:b/>
          <w:i/>
          <w:sz w:val="24"/>
          <w:szCs w:val="24"/>
        </w:rPr>
        <w:t>n</w:t>
      </w:r>
      <w:r w:rsidRPr="002C004B">
        <w:rPr>
          <w:rFonts w:ascii="Arial" w:hAnsi="Arial" w:cs="Arial"/>
          <w:b/>
          <w:i/>
          <w:sz w:val="24"/>
          <w:szCs w:val="24"/>
        </w:rPr>
        <w:t>s</w:t>
      </w:r>
      <w:r w:rsidRPr="002C004B">
        <w:rPr>
          <w:rFonts w:ascii="Arial" w:hAnsi="Arial" w:cs="Arial"/>
          <w:b/>
          <w:i/>
          <w:sz w:val="24"/>
          <w:szCs w:val="24"/>
        </w:rPr>
        <w:t>a</w:t>
      </w:r>
      <w:r w:rsidRPr="002C004B">
        <w:rPr>
          <w:rFonts w:ascii="Arial" w:hAnsi="Arial" w:cs="Arial"/>
          <w:b/>
          <w:i/>
          <w:sz w:val="24"/>
          <w:szCs w:val="24"/>
        </w:rPr>
        <w:t>t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i/>
          <w:sz w:val="24"/>
          <w:szCs w:val="24"/>
        </w:rPr>
        <w:t>C</w:t>
      </w:r>
      <w:r w:rsidRPr="002C004B">
        <w:rPr>
          <w:rFonts w:ascii="Arial" w:hAnsi="Arial" w:cs="Arial"/>
          <w:b/>
          <w:i/>
          <w:sz w:val="24"/>
          <w:szCs w:val="24"/>
        </w:rPr>
        <w:t>omm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ss</w:t>
      </w:r>
      <w:r w:rsidRPr="002C004B">
        <w:rPr>
          <w:rFonts w:ascii="Arial" w:hAnsi="Arial" w:cs="Arial"/>
          <w:b/>
          <w:i/>
          <w:sz w:val="24"/>
          <w:szCs w:val="24"/>
        </w:rPr>
        <w:t>i</w:t>
      </w:r>
      <w:r w:rsidRPr="002C004B">
        <w:rPr>
          <w:rFonts w:ascii="Arial" w:hAnsi="Arial" w:cs="Arial"/>
          <w:b/>
          <w:i/>
          <w:sz w:val="24"/>
          <w:szCs w:val="24"/>
        </w:rPr>
        <w:t>on</w:t>
      </w:r>
      <w:r w:rsidRPr="002C004B">
        <w:rPr>
          <w:rFonts w:ascii="Arial" w:hAnsi="Arial" w:cs="Arial"/>
          <w:b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[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2</w:t>
      </w:r>
      <w:r w:rsidRPr="002C004B">
        <w:rPr>
          <w:rFonts w:ascii="Arial" w:hAnsi="Arial" w:cs="Arial"/>
          <w:i/>
          <w:sz w:val="24"/>
          <w:szCs w:val="24"/>
        </w:rPr>
        <w:t>}</w:t>
      </w:r>
      <w:r w:rsidRPr="002C004B">
        <w:rPr>
          <w:rFonts w:ascii="Arial" w:hAnsi="Arial" w:cs="Arial"/>
          <w:i/>
          <w:sz w:val="24"/>
          <w:szCs w:val="24"/>
        </w:rPr>
        <w:t>A.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4</w:t>
      </w:r>
      <w:r w:rsidRPr="002C004B">
        <w:rPr>
          <w:rFonts w:ascii="Arial" w:hAnsi="Arial" w:cs="Arial"/>
          <w:i/>
          <w:sz w:val="24"/>
          <w:szCs w:val="24"/>
        </w:rPr>
        <w:t>7,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7</w:t>
      </w:r>
      <w:r w:rsidRPr="002C004B">
        <w:rPr>
          <w:rFonts w:ascii="Arial" w:hAnsi="Arial" w:cs="Arial"/>
          <w:i/>
          <w:sz w:val="24"/>
          <w:szCs w:val="24"/>
        </w:rPr>
        <w:t>0</w:t>
      </w:r>
      <w:r w:rsidRPr="002C004B">
        <w:rPr>
          <w:rFonts w:ascii="Arial" w:hAnsi="Arial" w:cs="Arial"/>
          <w:i/>
          <w:sz w:val="24"/>
          <w:szCs w:val="24"/>
        </w:rPr>
        <w:t>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>.</w:t>
      </w:r>
    </w:p>
    <w:p w:rsidR="00877813" w:rsidRPr="002C004B" w:rsidRDefault="00B62AAD">
      <w:pPr>
        <w:pStyle w:val="BodyText"/>
        <w:spacing w:before="234" w:line="509" w:lineRule="auto"/>
        <w:ind w:left="125" w:right="115" w:firstLine="684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amende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plai</w:t>
      </w:r>
      <w:r w:rsidRPr="002C004B">
        <w:rPr>
          <w:rFonts w:cs="Arial"/>
          <w:sz w:val="24"/>
          <w:szCs w:val="24"/>
        </w:rPr>
        <w:t>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fil</w:t>
      </w:r>
      <w:r w:rsidRPr="002C004B">
        <w:rPr>
          <w:rFonts w:cs="Arial"/>
          <w:sz w:val="24"/>
          <w:szCs w:val="24"/>
        </w:rPr>
        <w:t>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8/09/2000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averred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paragraphs:</w:t>
      </w:r>
    </w:p>
    <w:p w:rsidR="00877813" w:rsidRPr="002C004B" w:rsidRDefault="00877813">
      <w:pPr>
        <w:spacing w:line="509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footerReference w:type="default" r:id="rId9"/>
          <w:pgSz w:w="12240" w:h="15840"/>
          <w:pgMar w:top="800" w:right="1140" w:bottom="1360" w:left="1480" w:header="0" w:footer="1166" w:gutter="0"/>
          <w:pgNumType w:start="8"/>
          <w:cols w:space="720"/>
        </w:sectPr>
      </w:pPr>
    </w:p>
    <w:p w:rsidR="00877813" w:rsidRPr="002C004B" w:rsidRDefault="00B62AAD">
      <w:pPr>
        <w:spacing w:before="39" w:line="376" w:lineRule="auto"/>
        <w:ind w:left="1968" w:right="1224" w:hanging="656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lastRenderedPageBreak/>
        <w:t>"</w:t>
      </w:r>
      <w:r w:rsidRPr="002C004B">
        <w:rPr>
          <w:rFonts w:ascii="Arial" w:hAnsi="Arial" w:cs="Arial"/>
          <w:i/>
          <w:sz w:val="24"/>
          <w:szCs w:val="24"/>
        </w:rPr>
        <w:t>6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1E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2</w:t>
      </w:r>
      <w:r w:rsidRPr="002C004B">
        <w:rPr>
          <w:rFonts w:ascii="Arial" w:hAnsi="Arial" w:cs="Arial"/>
          <w:i/>
          <w:sz w:val="24"/>
          <w:szCs w:val="24"/>
        </w:rPr>
        <w:t>000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fir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or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ll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iff's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pu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ic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mi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int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ff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faul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/</w:t>
      </w:r>
      <w:r w:rsidRPr="002C004B">
        <w:rPr>
          <w:rFonts w:ascii="Arial" w:hAnsi="Arial" w:cs="Arial"/>
          <w:i/>
          <w:sz w:val="24"/>
          <w:szCs w:val="24"/>
        </w:rPr>
        <w:t>or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ay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ou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ome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rtment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ff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oti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mo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aim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/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why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tor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ve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ifi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x.</w:t>
      </w:r>
    </w:p>
    <w:p w:rsidR="00877813" w:rsidRPr="002C004B" w:rsidRDefault="00B62AAD">
      <w:pPr>
        <w:spacing w:before="4" w:line="375" w:lineRule="auto"/>
        <w:ind w:left="1975" w:right="1233" w:hanging="706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7.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ntiff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ever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fur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en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ht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ave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en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ond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fe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me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hh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mo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sub</w:t>
      </w:r>
      <w:r w:rsidRPr="002C004B">
        <w:rPr>
          <w:rFonts w:ascii="Arial" w:hAnsi="Arial" w:cs="Arial"/>
          <w:i/>
          <w:sz w:val="24"/>
          <w:szCs w:val="24"/>
        </w:rPr>
        <w:t>stantial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sum.</w:t>
      </w:r>
    </w:p>
    <w:p w:rsidR="00877813" w:rsidRPr="002C004B" w:rsidRDefault="00B62AAD">
      <w:pPr>
        <w:tabs>
          <w:tab w:val="left" w:pos="2285"/>
        </w:tabs>
        <w:spacing w:line="340" w:lineRule="exact"/>
        <w:ind w:left="1371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8</w:t>
      </w:r>
      <w:r w:rsidRPr="002C004B">
        <w:rPr>
          <w:rFonts w:ascii="Arial" w:hAnsi="Arial" w:cs="Arial"/>
          <w:i/>
          <w:sz w:val="24"/>
          <w:szCs w:val="24"/>
        </w:rPr>
        <w:t>.</w:t>
      </w:r>
      <w:r w:rsidRPr="002C004B">
        <w:rPr>
          <w:rFonts w:ascii="Arial" w:hAnsi="Arial" w:cs="Arial"/>
          <w:i/>
          <w:sz w:val="24"/>
          <w:szCs w:val="24"/>
        </w:rPr>
        <w:tab/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..</w:t>
      </w:r>
      <w:r w:rsidRPr="002C004B">
        <w:rPr>
          <w:rFonts w:ascii="Arial" w:hAnsi="Arial" w:cs="Arial"/>
          <w:sz w:val="24"/>
          <w:szCs w:val="24"/>
        </w:rPr>
        <w:t>.................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....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.........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....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Pr="002C004B">
        <w:rPr>
          <w:rFonts w:ascii="Arial" w:hAnsi="Arial" w:cs="Arial"/>
          <w:sz w:val="24"/>
          <w:szCs w:val="24"/>
        </w:rPr>
        <w:t>.</w:t>
      </w:r>
      <w:r w:rsidR="00C621A7">
        <w:rPr>
          <w:rFonts w:ascii="Arial" w:hAnsi="Arial" w:cs="Arial"/>
          <w:sz w:val="24"/>
          <w:szCs w:val="24"/>
        </w:rPr>
        <w:t>...................</w:t>
      </w:r>
    </w:p>
    <w:p w:rsidR="00877813" w:rsidRPr="002C004B" w:rsidRDefault="00B62AAD">
      <w:pPr>
        <w:spacing w:before="169" w:line="376" w:lineRule="auto"/>
        <w:ind w:left="1990" w:right="1220" w:hanging="8"/>
        <w:jc w:val="both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auc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="003215F7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iff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re</w:t>
      </w:r>
      <w:r w:rsidR="004E6067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er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en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our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offer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ay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ing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im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ar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bi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aid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mot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and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aid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rai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"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mp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sis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>.</w:t>
      </w:r>
    </w:p>
    <w:p w:rsidR="00877813" w:rsidRPr="002C004B" w:rsidRDefault="00B62AAD">
      <w:pPr>
        <w:pStyle w:val="BodyText"/>
        <w:spacing w:before="241" w:line="504" w:lineRule="auto"/>
        <w:ind w:left="118" w:firstLine="510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written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statement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defence</w:t>
      </w:r>
      <w:proofErr w:type="spellEnd"/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T.R.A.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sputed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claim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ground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awfully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so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cles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low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</w:p>
    <w:p w:rsidR="00877813" w:rsidRPr="002C004B" w:rsidRDefault="00877813">
      <w:pPr>
        <w:spacing w:line="504" w:lineRule="auto"/>
        <w:rPr>
          <w:rFonts w:ascii="Arial" w:hAnsi="Arial" w:cs="Arial"/>
          <w:sz w:val="24"/>
          <w:szCs w:val="24"/>
        </w:rPr>
        <w:sectPr w:rsidR="00877813" w:rsidRPr="002C004B">
          <w:pgSz w:w="12240" w:h="15840"/>
          <w:pgMar w:top="800" w:right="1160" w:bottom="1360" w:left="1480" w:header="0" w:footer="1166" w:gutter="0"/>
          <w:cols w:space="720"/>
        </w:sectPr>
      </w:pPr>
    </w:p>
    <w:p w:rsidR="00877813" w:rsidRPr="002C004B" w:rsidRDefault="00B62AAD">
      <w:pPr>
        <w:pStyle w:val="BodyText"/>
        <w:spacing w:before="38" w:line="493" w:lineRule="auto"/>
        <w:ind w:left="138" w:right="141" w:hanging="15"/>
        <w:rPr>
          <w:rFonts w:cs="Arial"/>
          <w:sz w:val="24"/>
          <w:szCs w:val="24"/>
        </w:rPr>
      </w:pPr>
      <w:proofErr w:type="gramStart"/>
      <w:r w:rsidRPr="002C004B">
        <w:rPr>
          <w:rFonts w:cs="Arial"/>
          <w:sz w:val="24"/>
          <w:szCs w:val="24"/>
        </w:rPr>
        <w:lastRenderedPageBreak/>
        <w:t>distress</w:t>
      </w:r>
      <w:proofErr w:type="gram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issued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recover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Government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revenue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long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overdue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respondent.</w:t>
      </w:r>
    </w:p>
    <w:p w:rsidR="00877813" w:rsidRPr="002C004B" w:rsidRDefault="00B62AAD">
      <w:pPr>
        <w:pStyle w:val="BodyText"/>
        <w:spacing w:before="24" w:line="502" w:lineRule="auto"/>
        <w:ind w:left="102" w:right="122" w:firstLine="741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careful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analysis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pleadings,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respectful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view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questions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controversy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arose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included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following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ssues.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taxab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income?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ability,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years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amount?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liab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lity,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ncluded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accumu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ated 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years?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proper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served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 executed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agents.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entitled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write-off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bal</w:t>
      </w:r>
      <w:r w:rsidRPr="002C004B">
        <w:rPr>
          <w:rFonts w:cs="Arial"/>
          <w:sz w:val="24"/>
          <w:szCs w:val="24"/>
        </w:rPr>
        <w:t>ance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bal</w:t>
      </w:r>
      <w:r w:rsidRPr="002C004B">
        <w:rPr>
          <w:rFonts w:cs="Arial"/>
          <w:sz w:val="24"/>
          <w:szCs w:val="24"/>
        </w:rPr>
        <w:t>ance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proceeds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vehicles?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taken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R.A.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</w:t>
      </w:r>
      <w:r w:rsidRPr="002C004B">
        <w:rPr>
          <w:rFonts w:cs="Arial"/>
          <w:sz w:val="24"/>
          <w:szCs w:val="24"/>
        </w:rPr>
        <w:t xml:space="preserve"> t</w:t>
      </w:r>
      <w:r w:rsidRPr="002C004B">
        <w:rPr>
          <w:rFonts w:cs="Arial"/>
          <w:sz w:val="24"/>
          <w:szCs w:val="24"/>
        </w:rPr>
        <w:t>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ability.</w:t>
      </w:r>
    </w:p>
    <w:p w:rsidR="00877813" w:rsidRPr="002C004B" w:rsidRDefault="00B62AAD">
      <w:pPr>
        <w:pStyle w:val="BodyText"/>
        <w:spacing w:before="6" w:line="502" w:lineRule="auto"/>
        <w:ind w:left="102" w:right="131" w:firstLine="540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respectful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view,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mary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spelt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substance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pleadings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fundamentally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</w:t>
      </w:r>
      <w:r w:rsidRPr="002C004B">
        <w:rPr>
          <w:rFonts w:cs="Arial"/>
          <w:sz w:val="24"/>
          <w:szCs w:val="24"/>
        </w:rPr>
        <w:t>spute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founded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stress,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nstrument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issued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 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</w:t>
      </w:r>
      <w:proofErr w:type="spellStart"/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straint</w:t>
      </w:r>
      <w:proofErr w:type="spellEnd"/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Rules,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975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recover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ability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from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means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ev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upon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allegation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claim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damages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amended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plaint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attendant.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say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least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dependent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pri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determination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correct</w:t>
      </w:r>
      <w:r w:rsidRPr="002C004B">
        <w:rPr>
          <w:rFonts w:cs="Arial"/>
          <w:sz w:val="24"/>
          <w:szCs w:val="24"/>
        </w:rPr>
        <w:t xml:space="preserve"> taxable </w:t>
      </w:r>
      <w:r w:rsidRPr="002C004B">
        <w:rPr>
          <w:rFonts w:cs="Arial"/>
          <w:sz w:val="24"/>
          <w:szCs w:val="24"/>
        </w:rPr>
        <w:t>income,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</w:p>
    <w:p w:rsidR="00877813" w:rsidRPr="002C004B" w:rsidRDefault="00877813">
      <w:pPr>
        <w:spacing w:line="502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pgSz w:w="12240" w:h="15840"/>
          <w:pgMar w:top="880" w:right="1160" w:bottom="1360" w:left="1460" w:header="0" w:footer="1166" w:gutter="0"/>
          <w:cols w:space="720"/>
        </w:sectPr>
      </w:pPr>
    </w:p>
    <w:p w:rsidR="00877813" w:rsidRPr="002C004B" w:rsidRDefault="00B62AAD" w:rsidP="00C621A7">
      <w:pPr>
        <w:pStyle w:val="BodyText"/>
        <w:spacing w:before="38" w:line="501" w:lineRule="auto"/>
        <w:ind w:left="292" w:right="164" w:firstLine="14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lastRenderedPageBreak/>
        <w:t>liabil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per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ods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989,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996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997,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includ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R.A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entit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collection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recovery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unpaid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upon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goods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chatte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 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</w:t>
      </w:r>
      <w:proofErr w:type="spellStart"/>
      <w:r w:rsidRPr="002C004B">
        <w:rPr>
          <w:rFonts w:cs="Arial"/>
          <w:sz w:val="24"/>
          <w:szCs w:val="24"/>
        </w:rPr>
        <w:t>Distra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nt</w:t>
      </w:r>
      <w:proofErr w:type="spellEnd"/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Rules,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975.</w:t>
      </w:r>
    </w:p>
    <w:p w:rsidR="00877813" w:rsidRPr="002C004B" w:rsidRDefault="00877813">
      <w:pPr>
        <w:spacing w:before="3"/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pStyle w:val="BodyText"/>
        <w:spacing w:before="0"/>
        <w:ind w:left="998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Sub-section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09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provides:</w:t>
      </w:r>
    </w:p>
    <w:p w:rsidR="00877813" w:rsidRPr="002C004B" w:rsidRDefault="00877813">
      <w:pPr>
        <w:spacing w:before="6"/>
        <w:rPr>
          <w:rFonts w:ascii="Arial" w:eastAsia="Arial" w:hAnsi="Arial" w:cs="Arial"/>
          <w:sz w:val="24"/>
          <w:szCs w:val="24"/>
        </w:rPr>
      </w:pPr>
    </w:p>
    <w:p w:rsidR="00877813" w:rsidRDefault="00B62AAD">
      <w:pPr>
        <w:spacing w:line="375" w:lineRule="auto"/>
        <w:ind w:left="1430" w:right="1275" w:firstLine="50"/>
        <w:jc w:val="both"/>
        <w:rPr>
          <w:rFonts w:ascii="Arial" w:hAnsi="Arial" w:cs="Arial"/>
          <w:i/>
          <w:sz w:val="24"/>
          <w:szCs w:val="24"/>
        </w:rPr>
      </w:pPr>
      <w:r w:rsidRPr="002C004B">
        <w:rPr>
          <w:rFonts w:ascii="Arial" w:hAnsi="Arial" w:cs="Arial"/>
          <w:i/>
          <w:sz w:val="24"/>
          <w:szCs w:val="24"/>
        </w:rPr>
        <w:t>"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0</w:t>
      </w:r>
      <w:r w:rsidRPr="002C004B">
        <w:rPr>
          <w:rFonts w:ascii="Arial" w:hAnsi="Arial" w:cs="Arial"/>
          <w:i/>
          <w:sz w:val="24"/>
          <w:szCs w:val="24"/>
        </w:rPr>
        <w:t>9</w:t>
      </w:r>
      <w:r w:rsidRPr="002C004B">
        <w:rPr>
          <w:rFonts w:ascii="Arial" w:hAnsi="Arial" w:cs="Arial"/>
          <w:i/>
          <w:sz w:val="24"/>
          <w:szCs w:val="24"/>
        </w:rPr>
        <w:t>(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)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any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whi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 man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provi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1</w:t>
      </w:r>
      <w:r w:rsidRPr="002C004B">
        <w:rPr>
          <w:rFonts w:ascii="Arial" w:hAnsi="Arial" w:cs="Arial"/>
          <w:i/>
          <w:sz w:val="24"/>
          <w:szCs w:val="24"/>
        </w:rPr>
        <w:t>0</w:t>
      </w:r>
      <w:r w:rsidRPr="002C004B">
        <w:rPr>
          <w:rFonts w:ascii="Arial" w:hAnsi="Arial" w:cs="Arial"/>
          <w:i/>
          <w:sz w:val="24"/>
          <w:szCs w:val="24"/>
        </w:rPr>
        <w:t>8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co</w:t>
      </w:r>
      <w:r w:rsidRPr="002C004B">
        <w:rPr>
          <w:rFonts w:ascii="Arial" w:hAnsi="Arial" w:cs="Arial"/>
          <w:i/>
          <w:sz w:val="24"/>
          <w:szCs w:val="24"/>
        </w:rPr>
        <w:t>mm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may,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ad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for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purp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ay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er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auth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z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any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pu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ic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offi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offi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rt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te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st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up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 g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fr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d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offi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ay,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fr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w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ov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ra</w:t>
      </w:r>
      <w:r w:rsidRPr="002C004B">
        <w:rPr>
          <w:rFonts w:ascii="Arial" w:hAnsi="Arial" w:cs="Arial"/>
          <w:i/>
          <w:sz w:val="24"/>
          <w:szCs w:val="24"/>
        </w:rPr>
        <w:t>b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p</w:t>
      </w:r>
      <w:r w:rsidRPr="002C004B">
        <w:rPr>
          <w:rFonts w:ascii="Arial" w:hAnsi="Arial" w:cs="Arial"/>
          <w:i/>
          <w:sz w:val="24"/>
          <w:szCs w:val="24"/>
        </w:rPr>
        <w:t>l</w:t>
      </w:r>
      <w:r w:rsidRPr="002C004B">
        <w:rPr>
          <w:rFonts w:ascii="Arial" w:hAnsi="Arial" w:cs="Arial"/>
          <w:i/>
          <w:sz w:val="24"/>
          <w:szCs w:val="24"/>
        </w:rPr>
        <w:t>oy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rva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r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g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k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ary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a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s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m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the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x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>c</w:t>
      </w:r>
      <w:r w:rsidRPr="002C004B">
        <w:rPr>
          <w:rFonts w:ascii="Arial" w:hAnsi="Arial" w:cs="Arial"/>
          <w:i/>
          <w:sz w:val="24"/>
          <w:szCs w:val="24"/>
        </w:rPr>
        <w:t>u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i</w:t>
      </w:r>
      <w:r w:rsidRPr="002C004B">
        <w:rPr>
          <w:rFonts w:ascii="Arial" w:hAnsi="Arial" w:cs="Arial"/>
          <w:i/>
          <w:sz w:val="24"/>
          <w:szCs w:val="24"/>
        </w:rPr>
        <w:t>on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o</w:t>
      </w:r>
      <w:r w:rsidRPr="002C004B">
        <w:rPr>
          <w:rFonts w:ascii="Arial" w:hAnsi="Arial" w:cs="Arial"/>
          <w:i/>
          <w:sz w:val="24"/>
          <w:szCs w:val="24"/>
        </w:rPr>
        <w:t>f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Pr="002C004B">
        <w:rPr>
          <w:rFonts w:ascii="Arial" w:hAnsi="Arial" w:cs="Arial"/>
          <w:i/>
          <w:sz w:val="24"/>
          <w:szCs w:val="24"/>
        </w:rPr>
        <w:t>t</w:t>
      </w:r>
      <w:r w:rsidRPr="002C004B">
        <w:rPr>
          <w:rFonts w:ascii="Arial" w:hAnsi="Arial" w:cs="Arial"/>
          <w:i/>
          <w:sz w:val="24"/>
          <w:szCs w:val="24"/>
        </w:rPr>
        <w:t>h</w:t>
      </w:r>
      <w:r w:rsidRPr="002C004B">
        <w:rPr>
          <w:rFonts w:ascii="Arial" w:hAnsi="Arial" w:cs="Arial"/>
          <w:i/>
          <w:sz w:val="24"/>
          <w:szCs w:val="24"/>
        </w:rPr>
        <w:t>e</w:t>
      </w:r>
      <w:r w:rsidRPr="002C004B">
        <w:rPr>
          <w:rFonts w:ascii="Arial" w:hAnsi="Arial" w:cs="Arial"/>
          <w:i/>
          <w:sz w:val="24"/>
          <w:szCs w:val="24"/>
        </w:rPr>
        <w:t xml:space="preserve"> </w:t>
      </w:r>
      <w:r w:rsidR="00C621A7">
        <w:rPr>
          <w:rFonts w:ascii="Arial" w:hAnsi="Arial" w:cs="Arial"/>
          <w:i/>
          <w:sz w:val="24"/>
          <w:szCs w:val="24"/>
        </w:rPr>
        <w:t>distress:………….”</w:t>
      </w:r>
    </w:p>
    <w:p w:rsidR="00C621A7" w:rsidRPr="002C004B" w:rsidRDefault="00C621A7">
      <w:pPr>
        <w:spacing w:line="375" w:lineRule="auto"/>
        <w:ind w:left="1430" w:right="1275" w:firstLine="50"/>
        <w:jc w:val="both"/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 w:rsidP="00C621A7">
      <w:pPr>
        <w:pStyle w:val="BodyText"/>
        <w:spacing w:before="5" w:line="502" w:lineRule="auto"/>
        <w:ind w:left="278" w:right="98" w:firstLine="698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eclipsed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authority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entertaining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etermin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chief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issues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legally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outside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its competence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also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ainly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corroborated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issues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frame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name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sting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ability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payable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="00C621A7">
        <w:rPr>
          <w:rFonts w:cs="Arial"/>
          <w:sz w:val="24"/>
          <w:szCs w:val="24"/>
        </w:rPr>
        <w:t xml:space="preserve"> </w:t>
      </w:r>
      <w:r w:rsidR="002C004B" w:rsidRPr="002C004B">
        <w:rPr>
          <w:rFonts w:cs="Arial"/>
          <w:sz w:val="24"/>
          <w:szCs w:val="24"/>
        </w:rPr>
        <w:t>T.R.A.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time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how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much?</w:t>
      </w:r>
      <w:r w:rsidRPr="002C004B">
        <w:rPr>
          <w:rFonts w:cs="Arial"/>
          <w:sz w:val="24"/>
          <w:szCs w:val="24"/>
        </w:rPr>
        <w:t xml:space="preserve"> </w:t>
      </w:r>
      <w:proofErr w:type="gramStart"/>
      <w:r w:rsidRPr="002C004B">
        <w:rPr>
          <w:rFonts w:cs="Arial"/>
          <w:sz w:val="24"/>
          <w:szCs w:val="24"/>
        </w:rPr>
        <w:t>and</w:t>
      </w:r>
      <w:proofErr w:type="gram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whether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>'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veh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cles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awfully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distra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ned?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live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ssue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ain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man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festly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taxation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nature.</w:t>
      </w:r>
    </w:p>
    <w:p w:rsidR="00877813" w:rsidRPr="002C004B" w:rsidRDefault="00877813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877813" w:rsidRPr="002C004B">
          <w:footerReference w:type="default" r:id="rId10"/>
          <w:pgSz w:w="12240" w:h="15840"/>
          <w:pgMar w:top="900" w:right="1100" w:bottom="1260" w:left="1320" w:header="0" w:footer="1066" w:gutter="0"/>
          <w:pgNumType w:start="11"/>
          <w:cols w:space="720"/>
        </w:sectPr>
      </w:pPr>
    </w:p>
    <w:p w:rsidR="00877813" w:rsidRPr="002C004B" w:rsidRDefault="00B62AAD">
      <w:pPr>
        <w:pStyle w:val="BodyText"/>
        <w:spacing w:before="54" w:line="500" w:lineRule="auto"/>
        <w:ind w:left="115" w:right="129" w:firstLine="727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lastRenderedPageBreak/>
        <w:t>We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fully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agree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Mr.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Bundala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dispute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instituted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respondent's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original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plaint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22/8/2000,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subsequently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amended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first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foremost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have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been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just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able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Board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Zonal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Board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Tri</w:t>
      </w:r>
      <w:r w:rsidRPr="002C004B">
        <w:rPr>
          <w:rFonts w:cs="Arial"/>
          <w:sz w:val="24"/>
          <w:szCs w:val="24"/>
        </w:rPr>
        <w:t>bunal,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respectively,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89(1)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(a),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89B,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93(1)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(a)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XV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</w:t>
      </w:r>
      <w:r w:rsidR="00C621A7">
        <w:rPr>
          <w:rFonts w:cs="Arial"/>
          <w:sz w:val="24"/>
          <w:szCs w:val="24"/>
        </w:rPr>
        <w:t>CTI</w:t>
      </w:r>
      <w:r w:rsidRPr="002C004B">
        <w:rPr>
          <w:rFonts w:cs="Arial"/>
          <w:sz w:val="24"/>
          <w:szCs w:val="24"/>
        </w:rPr>
        <w:t>ONS,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RELIEF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STAKE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Those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forums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complete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own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statutory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rul</w:t>
      </w:r>
      <w:r w:rsidRPr="002C004B">
        <w:rPr>
          <w:rFonts w:cs="Arial"/>
          <w:sz w:val="24"/>
          <w:szCs w:val="24"/>
        </w:rPr>
        <w:t>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procedure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Boards)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Ru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</w:t>
      </w:r>
      <w:r w:rsidRPr="002C004B">
        <w:rPr>
          <w:rFonts w:cs="Arial"/>
          <w:sz w:val="24"/>
          <w:szCs w:val="24"/>
        </w:rPr>
        <w:t>G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N.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8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975)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(Appeals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Tribunal)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Ru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(G.N.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</w:t>
      </w:r>
      <w:r w:rsidRPr="002C004B">
        <w:rPr>
          <w:rFonts w:cs="Arial"/>
          <w:sz w:val="24"/>
          <w:szCs w:val="24"/>
        </w:rPr>
        <w:t>o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7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975).</w:t>
      </w:r>
    </w:p>
    <w:p w:rsidR="00877813" w:rsidRPr="002C004B" w:rsidRDefault="00B62AAD">
      <w:pPr>
        <w:pStyle w:val="BodyText"/>
        <w:spacing w:before="7" w:line="498" w:lineRule="auto"/>
        <w:ind w:left="115" w:right="138" w:firstLine="734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Furthermor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9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(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entitled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free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take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up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objection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against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assessment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T.R.A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respectful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v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w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const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tut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specific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forums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adjudicat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spute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liabi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(Se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b/>
          <w:sz w:val="24"/>
          <w:szCs w:val="24"/>
        </w:rPr>
        <w:t>Korta</w:t>
      </w:r>
      <w:proofErr w:type="spellEnd"/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Company</w:t>
      </w:r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Ltd</w:t>
      </w:r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and</w:t>
      </w:r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New</w:t>
      </w:r>
      <w:r w:rsidRPr="002C004B">
        <w:rPr>
          <w:rFonts w:cs="Arial"/>
          <w:b/>
          <w:sz w:val="24"/>
          <w:szCs w:val="24"/>
        </w:rPr>
        <w:t xml:space="preserve"> </w:t>
      </w:r>
      <w:proofErr w:type="spellStart"/>
      <w:r w:rsidRPr="002C004B">
        <w:rPr>
          <w:rFonts w:cs="Arial"/>
          <w:b/>
          <w:sz w:val="24"/>
          <w:szCs w:val="24"/>
        </w:rPr>
        <w:t>Musoma</w:t>
      </w:r>
      <w:proofErr w:type="spellEnd"/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Textiles</w:t>
      </w:r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b/>
          <w:sz w:val="24"/>
          <w:szCs w:val="24"/>
        </w:rPr>
        <w:t>Ltd.</w:t>
      </w:r>
      <w:r w:rsidRPr="002C004B">
        <w:rPr>
          <w:rFonts w:cs="Arial"/>
          <w:b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cases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i/>
          <w:sz w:val="24"/>
          <w:szCs w:val="24"/>
        </w:rPr>
        <w:t>(</w:t>
      </w:r>
      <w:r w:rsidRPr="002C004B">
        <w:rPr>
          <w:rFonts w:cs="Arial"/>
          <w:i/>
          <w:sz w:val="24"/>
          <w:szCs w:val="24"/>
        </w:rPr>
        <w:t>supra).</w:t>
      </w:r>
      <w:r w:rsidRPr="002C004B">
        <w:rPr>
          <w:rFonts w:cs="Arial"/>
          <w:i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gal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avenues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had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first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exhausted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respondent,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whose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assistance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neither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sought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attempted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seek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before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recourse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civil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warranted.</w:t>
      </w:r>
    </w:p>
    <w:p w:rsidR="00877813" w:rsidRPr="002C004B" w:rsidRDefault="00B62AAD">
      <w:pPr>
        <w:pStyle w:val="BodyText"/>
        <w:spacing w:before="11" w:line="504" w:lineRule="auto"/>
        <w:ind w:left="129" w:right="111" w:firstLine="705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Al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consi</w:t>
      </w:r>
      <w:r w:rsidRPr="002C004B">
        <w:rPr>
          <w:rFonts w:cs="Arial"/>
          <w:sz w:val="24"/>
          <w:szCs w:val="24"/>
        </w:rPr>
        <w:t>dered,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respect,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</w:t>
      </w:r>
      <w:r w:rsidRPr="002C004B">
        <w:rPr>
          <w:rFonts w:cs="Arial"/>
          <w:sz w:val="24"/>
          <w:szCs w:val="24"/>
        </w:rPr>
        <w:t>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entertaining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determining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dispute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</w:t>
      </w:r>
      <w:r w:rsidRPr="002C004B">
        <w:rPr>
          <w:rFonts w:cs="Arial"/>
          <w:sz w:val="24"/>
          <w:szCs w:val="24"/>
        </w:rPr>
        <w:t>etween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part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es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travelled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beyond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its</w:t>
      </w:r>
    </w:p>
    <w:p w:rsidR="00877813" w:rsidRPr="002C004B" w:rsidRDefault="00B62AAD">
      <w:pPr>
        <w:spacing w:before="138"/>
        <w:ind w:right="127"/>
        <w:jc w:val="right"/>
        <w:rPr>
          <w:rFonts w:ascii="Arial" w:eastAsia="Arial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2</w:t>
      </w:r>
    </w:p>
    <w:p w:rsidR="00877813" w:rsidRPr="002C004B" w:rsidRDefault="00877813">
      <w:pPr>
        <w:jc w:val="right"/>
        <w:rPr>
          <w:rFonts w:ascii="Arial" w:eastAsia="Arial" w:hAnsi="Arial" w:cs="Arial"/>
          <w:sz w:val="24"/>
          <w:szCs w:val="24"/>
        </w:rPr>
        <w:sectPr w:rsidR="00877813" w:rsidRPr="002C004B">
          <w:footerReference w:type="default" r:id="rId11"/>
          <w:pgSz w:w="12240" w:h="15840"/>
          <w:pgMar w:top="1080" w:right="1180" w:bottom="280" w:left="1440" w:header="0" w:footer="0" w:gutter="0"/>
          <w:cols w:space="720"/>
        </w:sectPr>
      </w:pPr>
    </w:p>
    <w:p w:rsidR="00877813" w:rsidRPr="002C004B" w:rsidRDefault="00B62AAD">
      <w:pPr>
        <w:pStyle w:val="BodyText"/>
        <w:spacing w:before="44" w:line="500" w:lineRule="auto"/>
        <w:ind w:left="115" w:right="153" w:hanging="8"/>
        <w:jc w:val="both"/>
        <w:rPr>
          <w:rFonts w:cs="Arial"/>
          <w:sz w:val="24"/>
          <w:szCs w:val="24"/>
        </w:rPr>
      </w:pPr>
      <w:proofErr w:type="gramStart"/>
      <w:r w:rsidRPr="002C004B">
        <w:rPr>
          <w:rFonts w:cs="Arial"/>
          <w:sz w:val="24"/>
          <w:szCs w:val="24"/>
        </w:rPr>
        <w:lastRenderedPageBreak/>
        <w:t>jur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sdictio</w:t>
      </w:r>
      <w:r w:rsidRPr="002C004B">
        <w:rPr>
          <w:rFonts w:cs="Arial"/>
          <w:sz w:val="24"/>
          <w:szCs w:val="24"/>
        </w:rPr>
        <w:t>n</w:t>
      </w:r>
      <w:proofErr w:type="gramEnd"/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expressly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ousted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specific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forums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</w:t>
      </w:r>
      <w:bookmarkStart w:id="0" w:name="_GoBack"/>
      <w:bookmarkEnd w:id="0"/>
      <w:r w:rsidRPr="002C004B">
        <w:rPr>
          <w:rFonts w:cs="Arial"/>
          <w:sz w:val="24"/>
          <w:szCs w:val="24"/>
        </w:rPr>
        <w:t>stablished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</w:t>
      </w:r>
      <w:r w:rsidRPr="002C004B">
        <w:rPr>
          <w:rFonts w:cs="Arial"/>
          <w:sz w:val="24"/>
          <w:szCs w:val="24"/>
        </w:rPr>
        <w:t>e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ncome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erron</w:t>
      </w:r>
      <w:r w:rsidRPr="002C004B">
        <w:rPr>
          <w:rFonts w:cs="Arial"/>
          <w:sz w:val="24"/>
          <w:szCs w:val="24"/>
        </w:rPr>
        <w:t>e</w:t>
      </w:r>
      <w:r w:rsidRPr="002C004B">
        <w:rPr>
          <w:rFonts w:cs="Arial"/>
          <w:sz w:val="24"/>
          <w:szCs w:val="24"/>
        </w:rPr>
        <w:t>ous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crowned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tself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with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jurisd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 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possess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entertaining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determining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sui</w:t>
      </w:r>
      <w:r w:rsidRPr="002C004B">
        <w:rPr>
          <w:rFonts w:cs="Arial"/>
          <w:sz w:val="24"/>
          <w:szCs w:val="24"/>
        </w:rPr>
        <w:t>t,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which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fundamentally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tax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dispute.</w:t>
      </w:r>
    </w:p>
    <w:p w:rsidR="00877813" w:rsidRPr="002C004B" w:rsidRDefault="00B62AAD">
      <w:pPr>
        <w:pStyle w:val="BodyText"/>
        <w:spacing w:before="15" w:line="491" w:lineRule="auto"/>
        <w:ind w:left="101" w:right="99" w:firstLine="727"/>
        <w:jc w:val="both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Accordingly,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constrained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hereby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invoke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our</w:t>
      </w:r>
      <w:r w:rsidRPr="002C004B">
        <w:rPr>
          <w:rFonts w:cs="Arial"/>
          <w:sz w:val="24"/>
          <w:szCs w:val="24"/>
        </w:rPr>
        <w:t xml:space="preserve"> </w:t>
      </w:r>
      <w:proofErr w:type="spellStart"/>
      <w:r w:rsidRPr="002C004B">
        <w:rPr>
          <w:rFonts w:cs="Arial"/>
          <w:sz w:val="24"/>
          <w:szCs w:val="24"/>
        </w:rPr>
        <w:t>revisional</w:t>
      </w:r>
      <w:proofErr w:type="spellEnd"/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powers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under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sect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4(2)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Appellate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sdiction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Ac</w:t>
      </w: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Cap.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1</w:t>
      </w:r>
      <w:r w:rsidRPr="002C004B">
        <w:rPr>
          <w:rFonts w:cs="Arial"/>
          <w:sz w:val="24"/>
          <w:szCs w:val="24"/>
        </w:rPr>
        <w:t>41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</w:t>
      </w:r>
      <w:r w:rsidRPr="002C004B">
        <w:rPr>
          <w:rFonts w:cs="Arial"/>
          <w:sz w:val="24"/>
          <w:szCs w:val="24"/>
        </w:rPr>
        <w:t>.</w:t>
      </w:r>
      <w:r w:rsidRPr="002C004B">
        <w:rPr>
          <w:rFonts w:cs="Arial"/>
          <w:sz w:val="24"/>
          <w:szCs w:val="24"/>
        </w:rPr>
        <w:t>E.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2002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declare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nul</w:t>
      </w:r>
      <w:r w:rsidRPr="002C004B">
        <w:rPr>
          <w:rFonts w:cs="Arial"/>
          <w:sz w:val="24"/>
          <w:szCs w:val="24"/>
        </w:rPr>
        <w:t>l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ty,</w:t>
      </w:r>
      <w:r w:rsidR="003215F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quash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set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de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entire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proceed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ng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>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judgment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and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decree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High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Court.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meet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just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ce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case,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we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make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no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orders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to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costs.</w:t>
      </w:r>
    </w:p>
    <w:p w:rsidR="00877813" w:rsidRPr="002C004B" w:rsidRDefault="00B62AAD">
      <w:pPr>
        <w:pStyle w:val="BodyText"/>
        <w:spacing w:before="26"/>
        <w:ind w:left="814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T</w:t>
      </w:r>
      <w:r w:rsidRPr="002C004B">
        <w:rPr>
          <w:rFonts w:cs="Arial"/>
          <w:sz w:val="24"/>
          <w:szCs w:val="24"/>
        </w:rPr>
        <w:t>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appeal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hereby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allowed.</w:t>
      </w: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spacing w:before="202"/>
        <w:ind w:left="843"/>
        <w:rPr>
          <w:rFonts w:ascii="Arial" w:eastAsia="Times New Roman" w:hAnsi="Arial" w:cs="Arial"/>
          <w:sz w:val="24"/>
          <w:szCs w:val="24"/>
        </w:rPr>
      </w:pPr>
      <w:r w:rsidRPr="002C004B">
        <w:rPr>
          <w:rFonts w:ascii="Arial" w:hAnsi="Arial" w:cs="Arial"/>
          <w:b/>
          <w:sz w:val="24"/>
          <w:szCs w:val="24"/>
        </w:rPr>
        <w:t>DATED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at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b/>
          <w:sz w:val="24"/>
          <w:szCs w:val="24"/>
        </w:rPr>
        <w:t>ARUSHA</w:t>
      </w:r>
      <w:r w:rsidRPr="002C004B">
        <w:rPr>
          <w:rFonts w:ascii="Arial" w:hAnsi="Arial" w:cs="Arial"/>
          <w:b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this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26th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day of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October,</w:t>
      </w:r>
      <w:r w:rsidRPr="002C004B">
        <w:rPr>
          <w:rFonts w:ascii="Arial" w:hAnsi="Arial" w:cs="Arial"/>
          <w:sz w:val="24"/>
          <w:szCs w:val="24"/>
        </w:rPr>
        <w:t xml:space="preserve"> </w:t>
      </w:r>
      <w:r w:rsidRPr="002C004B">
        <w:rPr>
          <w:rFonts w:ascii="Arial" w:hAnsi="Arial" w:cs="Arial"/>
          <w:sz w:val="24"/>
          <w:szCs w:val="24"/>
        </w:rPr>
        <w:t>2016.</w:t>
      </w:r>
    </w:p>
    <w:p w:rsidR="00877813" w:rsidRPr="002C004B" w:rsidRDefault="00877813">
      <w:pPr>
        <w:rPr>
          <w:rFonts w:ascii="Arial" w:eastAsia="Times New Roman" w:hAnsi="Arial" w:cs="Arial"/>
          <w:sz w:val="24"/>
          <w:szCs w:val="24"/>
        </w:rPr>
      </w:pPr>
    </w:p>
    <w:p w:rsidR="00877813" w:rsidRPr="002C004B" w:rsidRDefault="00877813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877813" w:rsidRPr="002C004B" w:rsidRDefault="002C004B" w:rsidP="00E37F93">
      <w:pPr>
        <w:pStyle w:val="BodyText"/>
        <w:spacing w:before="0"/>
        <w:ind w:left="284" w:right="23" w:hanging="10"/>
        <w:jc w:val="center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M.</w:t>
      </w:r>
      <w:r w:rsidR="00C621A7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C.</w:t>
      </w:r>
      <w:r w:rsidR="00B62AAD" w:rsidRPr="002C004B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OT</w:t>
      </w:r>
      <w:r w:rsidR="00B62AAD" w:rsidRPr="002C004B">
        <w:rPr>
          <w:rFonts w:cs="Arial"/>
          <w:sz w:val="24"/>
          <w:szCs w:val="24"/>
        </w:rPr>
        <w:t>HMAN</w:t>
      </w:r>
    </w:p>
    <w:p w:rsidR="00877813" w:rsidRPr="00C621A7" w:rsidRDefault="00B62AAD">
      <w:pPr>
        <w:spacing w:before="18"/>
        <w:ind w:left="3378" w:right="341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621A7">
        <w:rPr>
          <w:rFonts w:ascii="Arial" w:hAnsi="Arial" w:cs="Arial"/>
          <w:b/>
          <w:sz w:val="24"/>
          <w:szCs w:val="24"/>
          <w:u w:val="single"/>
        </w:rPr>
        <w:t>CHIEF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JUSTI</w:t>
      </w:r>
      <w:r w:rsidRPr="00C621A7">
        <w:rPr>
          <w:rFonts w:ascii="Arial" w:hAnsi="Arial" w:cs="Arial"/>
          <w:b/>
          <w:sz w:val="24"/>
          <w:szCs w:val="24"/>
          <w:u w:val="single"/>
        </w:rPr>
        <w:t>CE</w:t>
      </w:r>
    </w:p>
    <w:p w:rsidR="00877813" w:rsidRPr="00C621A7" w:rsidRDefault="00877813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77813" w:rsidRPr="002C004B" w:rsidRDefault="002C004B" w:rsidP="002C004B">
      <w:pPr>
        <w:pStyle w:val="BodyText"/>
        <w:tabs>
          <w:tab w:val="left" w:pos="4458"/>
        </w:tabs>
        <w:spacing w:before="0"/>
        <w:ind w:left="4457" w:hanging="338"/>
        <w:jc w:val="center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S.</w:t>
      </w:r>
      <w:r w:rsidR="00C621A7">
        <w:rPr>
          <w:rFonts w:cs="Arial"/>
          <w:sz w:val="24"/>
          <w:szCs w:val="24"/>
        </w:rPr>
        <w:t xml:space="preserve"> </w:t>
      </w:r>
      <w:r w:rsidR="00B62AAD" w:rsidRPr="002C004B">
        <w:rPr>
          <w:rFonts w:cs="Arial"/>
          <w:sz w:val="24"/>
          <w:szCs w:val="24"/>
        </w:rPr>
        <w:t>MJAS</w:t>
      </w:r>
      <w:r w:rsidR="00B62AAD" w:rsidRPr="002C004B">
        <w:rPr>
          <w:rFonts w:cs="Arial"/>
          <w:sz w:val="24"/>
          <w:szCs w:val="24"/>
        </w:rPr>
        <w:t>R</w:t>
      </w:r>
      <w:r w:rsidR="00B62AAD" w:rsidRPr="002C004B">
        <w:rPr>
          <w:rFonts w:cs="Arial"/>
          <w:sz w:val="24"/>
          <w:szCs w:val="24"/>
        </w:rPr>
        <w:t>I</w:t>
      </w:r>
    </w:p>
    <w:p w:rsidR="00877813" w:rsidRPr="00C621A7" w:rsidRDefault="00B62AAD">
      <w:pPr>
        <w:spacing w:before="26"/>
        <w:ind w:left="3378" w:right="34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621A7">
        <w:rPr>
          <w:rFonts w:ascii="Arial" w:hAnsi="Arial" w:cs="Arial"/>
          <w:b/>
          <w:sz w:val="24"/>
          <w:szCs w:val="24"/>
          <w:u w:val="single"/>
        </w:rPr>
        <w:t>JUSTI</w:t>
      </w:r>
      <w:r w:rsidRPr="00C621A7">
        <w:rPr>
          <w:rFonts w:ascii="Arial" w:hAnsi="Arial" w:cs="Arial"/>
          <w:b/>
          <w:sz w:val="24"/>
          <w:szCs w:val="24"/>
          <w:u w:val="single"/>
        </w:rPr>
        <w:t>CE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OF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APPEAL</w:t>
      </w:r>
    </w:p>
    <w:p w:rsidR="00877813" w:rsidRPr="002C004B" w:rsidRDefault="00C621A7" w:rsidP="002C004B">
      <w:pPr>
        <w:pStyle w:val="BodyText"/>
        <w:tabs>
          <w:tab w:val="left" w:pos="4595"/>
        </w:tabs>
        <w:spacing w:before="205"/>
        <w:ind w:left="4594" w:right="22" w:hanging="25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I. </w:t>
      </w:r>
      <w:r w:rsidR="00B62AAD" w:rsidRPr="002C004B">
        <w:rPr>
          <w:rFonts w:cs="Arial"/>
          <w:sz w:val="24"/>
          <w:szCs w:val="24"/>
        </w:rPr>
        <w:t>JUMA</w:t>
      </w:r>
    </w:p>
    <w:p w:rsidR="00877813" w:rsidRPr="00C621A7" w:rsidRDefault="00B62AAD">
      <w:pPr>
        <w:spacing w:before="26"/>
        <w:ind w:left="3378" w:right="34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621A7">
        <w:rPr>
          <w:rFonts w:ascii="Arial" w:hAnsi="Arial" w:cs="Arial"/>
          <w:b/>
          <w:sz w:val="24"/>
          <w:szCs w:val="24"/>
          <w:u w:val="single"/>
        </w:rPr>
        <w:t>JUSTI</w:t>
      </w:r>
      <w:r w:rsidRPr="00C621A7">
        <w:rPr>
          <w:rFonts w:ascii="Arial" w:hAnsi="Arial" w:cs="Arial"/>
          <w:b/>
          <w:sz w:val="24"/>
          <w:szCs w:val="24"/>
          <w:u w:val="single"/>
        </w:rPr>
        <w:t>CE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OF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APPEAL</w:t>
      </w:r>
    </w:p>
    <w:p w:rsidR="00877813" w:rsidRPr="002C004B" w:rsidRDefault="0087781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77813" w:rsidRPr="002C004B" w:rsidRDefault="00B62AAD">
      <w:pPr>
        <w:pStyle w:val="BodyText"/>
        <w:spacing w:before="0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t>I</w:t>
      </w:r>
      <w:r w:rsidR="00C621A7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cert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fy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that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this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s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a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true copy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of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the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or</w:t>
      </w:r>
      <w:r w:rsidRPr="002C004B">
        <w:rPr>
          <w:rFonts w:cs="Arial"/>
          <w:sz w:val="24"/>
          <w:szCs w:val="24"/>
        </w:rPr>
        <w:t>i</w:t>
      </w:r>
      <w:r w:rsidRPr="002C004B">
        <w:rPr>
          <w:rFonts w:cs="Arial"/>
          <w:sz w:val="24"/>
          <w:szCs w:val="24"/>
        </w:rPr>
        <w:t>ginal.</w:t>
      </w: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spacing w:before="10"/>
        <w:rPr>
          <w:rFonts w:ascii="Arial" w:eastAsia="Arial" w:hAnsi="Arial" w:cs="Arial"/>
          <w:sz w:val="24"/>
          <w:szCs w:val="24"/>
        </w:r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  <w:sectPr w:rsidR="00877813" w:rsidRPr="002C004B">
          <w:footerReference w:type="default" r:id="rId12"/>
          <w:pgSz w:w="12240" w:h="15840"/>
          <w:pgMar w:top="960" w:right="1060" w:bottom="280" w:left="1540" w:header="0" w:footer="0" w:gutter="0"/>
          <w:cols w:space="720"/>
        </w:sectPr>
      </w:pPr>
    </w:p>
    <w:p w:rsidR="00877813" w:rsidRPr="002C004B" w:rsidRDefault="00877813">
      <w:pPr>
        <w:rPr>
          <w:rFonts w:ascii="Arial" w:eastAsia="Arial" w:hAnsi="Arial" w:cs="Arial"/>
          <w:sz w:val="24"/>
          <w:szCs w:val="24"/>
        </w:rPr>
      </w:pPr>
    </w:p>
    <w:p w:rsidR="00877813" w:rsidRPr="002C004B" w:rsidRDefault="00B62AAD">
      <w:pPr>
        <w:pStyle w:val="BodyText"/>
        <w:spacing w:before="64"/>
        <w:ind w:left="0" w:right="3118"/>
        <w:jc w:val="center"/>
        <w:rPr>
          <w:rFonts w:cs="Arial"/>
          <w:sz w:val="24"/>
          <w:szCs w:val="24"/>
        </w:rPr>
      </w:pPr>
      <w:r w:rsidRPr="002C004B">
        <w:rPr>
          <w:rFonts w:cs="Arial"/>
          <w:sz w:val="24"/>
          <w:szCs w:val="24"/>
        </w:rPr>
        <w:br w:type="column"/>
      </w:r>
      <w:r w:rsidRPr="002C004B">
        <w:rPr>
          <w:rFonts w:cs="Arial"/>
          <w:sz w:val="24"/>
          <w:szCs w:val="24"/>
        </w:rPr>
        <w:t>J.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R.</w:t>
      </w:r>
      <w:r w:rsidRPr="002C004B">
        <w:rPr>
          <w:rFonts w:cs="Arial"/>
          <w:sz w:val="24"/>
          <w:szCs w:val="24"/>
        </w:rPr>
        <w:t xml:space="preserve"> </w:t>
      </w:r>
      <w:r w:rsidRPr="002C004B">
        <w:rPr>
          <w:rFonts w:cs="Arial"/>
          <w:sz w:val="24"/>
          <w:szCs w:val="24"/>
        </w:rPr>
        <w:t>KAHYOZA</w:t>
      </w:r>
    </w:p>
    <w:p w:rsidR="00877813" w:rsidRPr="00C621A7" w:rsidRDefault="00B62AAD" w:rsidP="00C621A7">
      <w:pPr>
        <w:spacing w:before="26" w:line="256" w:lineRule="auto"/>
        <w:ind w:left="411" w:right="3550" w:firstLine="35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621A7">
        <w:rPr>
          <w:rFonts w:ascii="Arial" w:hAnsi="Arial" w:cs="Arial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3pt;margin-top:-58.75pt;width:281.5pt;height:82.8pt;z-index:-7000;mso-position-horizontal-relative:page">
            <v:imagedata r:id="rId13" o:title=""/>
            <w10:wrap anchorx="page"/>
          </v:shape>
        </w:pict>
      </w:r>
      <w:r w:rsidRPr="00C621A7">
        <w:rPr>
          <w:rFonts w:ascii="Arial" w:hAnsi="Arial" w:cs="Arial"/>
          <w:b/>
          <w:sz w:val="24"/>
          <w:szCs w:val="24"/>
          <w:u w:val="single"/>
        </w:rPr>
        <w:t>REGISTRAR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COURT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OF</w:t>
      </w:r>
      <w:r w:rsidRPr="00C621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21A7">
        <w:rPr>
          <w:rFonts w:ascii="Arial" w:hAnsi="Arial" w:cs="Arial"/>
          <w:b/>
          <w:sz w:val="24"/>
          <w:szCs w:val="24"/>
          <w:u w:val="single"/>
        </w:rPr>
        <w:t>APPEAL</w:t>
      </w:r>
    </w:p>
    <w:p w:rsidR="00877813" w:rsidRPr="002C004B" w:rsidRDefault="00B62AAD">
      <w:pPr>
        <w:ind w:right="133"/>
        <w:jc w:val="right"/>
        <w:rPr>
          <w:rFonts w:ascii="Arial" w:eastAsia="Times New Roman" w:hAnsi="Arial" w:cs="Arial"/>
          <w:sz w:val="24"/>
          <w:szCs w:val="24"/>
        </w:rPr>
      </w:pPr>
      <w:r w:rsidRPr="002C004B">
        <w:rPr>
          <w:rFonts w:ascii="Arial" w:hAnsi="Arial" w:cs="Arial"/>
          <w:sz w:val="24"/>
          <w:szCs w:val="24"/>
        </w:rPr>
        <w:t>1</w:t>
      </w:r>
      <w:r w:rsidRPr="002C004B">
        <w:rPr>
          <w:rFonts w:ascii="Arial" w:hAnsi="Arial" w:cs="Arial"/>
          <w:sz w:val="24"/>
          <w:szCs w:val="24"/>
        </w:rPr>
        <w:t>3</w:t>
      </w:r>
    </w:p>
    <w:sectPr w:rsidR="00877813" w:rsidRPr="002C004B">
      <w:type w:val="continuous"/>
      <w:pgSz w:w="12240" w:h="15840"/>
      <w:pgMar w:top="60" w:right="1060" w:bottom="280" w:left="1540" w:header="720" w:footer="720" w:gutter="0"/>
      <w:cols w:num="2" w:space="720" w:equalWidth="0">
        <w:col w:w="3047" w:space="42"/>
        <w:col w:w="6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AD" w:rsidRDefault="00B62AAD">
      <w:r>
        <w:separator/>
      </w:r>
    </w:p>
  </w:endnote>
  <w:endnote w:type="continuationSeparator" w:id="0">
    <w:p w:rsidR="00B62AAD" w:rsidRDefault="00B6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B62A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pt;margin-top:734.95pt;width:10.4pt;height:20pt;z-index:-7144;mso-position-horizontal-relative:page;mso-position-vertical-relative:page" filled="f" stroked="f">
          <v:textbox inset="0,0,0,0">
            <w:txbxContent>
              <w:p w:rsidR="00877813" w:rsidRDefault="00B62AAD">
                <w:pPr>
                  <w:spacing w:before="120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77777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7F93">
                  <w:rPr>
                    <w:rFonts w:ascii="Times New Roman"/>
                    <w:noProof/>
                    <w:color w:val="777777"/>
                    <w:w w:val="105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B62A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2pt;margin-top:731.3pt;width:14.6pt;height:17.7pt;z-index:-7120;mso-position-horizontal-relative:page;mso-position-vertical-relative:page" filled="f" stroked="f">
          <v:textbox inset="0,0,0,0">
            <w:txbxContent>
              <w:p w:rsidR="00877813" w:rsidRDefault="00B62AAD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676767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7F93">
                  <w:rPr>
                    <w:rFonts w:ascii="Arial"/>
                    <w:noProof/>
                    <w:color w:val="676767"/>
                    <w:sz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B62A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4pt;margin-top:722.7pt;width:16.2pt;height:16.95pt;z-index:-7096;mso-position-horizontal-relative:page;mso-position-vertical-relative:page" filled="f" stroked="f">
          <v:textbox inset="0,0,0,0">
            <w:txbxContent>
              <w:p w:rsidR="00877813" w:rsidRDefault="00B62AAD">
                <w:pPr>
                  <w:spacing w:before="70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25252"/>
                  </w:rPr>
                  <w:instrText xml:space="preserve"> PAGE </w:instrText>
                </w:r>
                <w:r>
                  <w:fldChar w:fldCharType="separate"/>
                </w:r>
                <w:r w:rsidR="00E37F93">
                  <w:rPr>
                    <w:rFonts w:ascii="Arial"/>
                    <w:noProof/>
                    <w:color w:val="52525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B62A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pt;margin-top:727.7pt;width:15.55pt;height:13.5pt;z-index:-7072;mso-position-horizontal-relative:page;mso-position-vertical-relative:page" filled="f" stroked="f">
          <v:textbox inset="0,0,0,0">
            <w:txbxContent>
              <w:p w:rsidR="00877813" w:rsidRDefault="00B62AAD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4545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C621A7">
                  <w:rPr>
                    <w:rFonts w:ascii="Arial"/>
                    <w:noProof/>
                    <w:color w:val="545454"/>
                    <w:sz w:val="23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87781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13" w:rsidRDefault="0087781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AD" w:rsidRDefault="00B62AAD">
      <w:r>
        <w:separator/>
      </w:r>
    </w:p>
  </w:footnote>
  <w:footnote w:type="continuationSeparator" w:id="0">
    <w:p w:rsidR="00B62AAD" w:rsidRDefault="00B6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D30"/>
    <w:multiLevelType w:val="multilevel"/>
    <w:tmpl w:val="57A0FF82"/>
    <w:lvl w:ilvl="0">
      <w:start w:val="20"/>
      <w:numFmt w:val="upperLetter"/>
      <w:lvlText w:val="%1"/>
      <w:lvlJc w:val="left"/>
      <w:pPr>
        <w:ind w:left="278" w:hanging="944"/>
      </w:pPr>
      <w:rPr>
        <w:rFonts w:hint="default"/>
      </w:rPr>
    </w:lvl>
    <w:lvl w:ilvl="1">
      <w:start w:val="18"/>
      <w:numFmt w:val="upperLetter"/>
      <w:lvlText w:val="%1.%2"/>
      <w:lvlJc w:val="left"/>
      <w:pPr>
        <w:ind w:left="278" w:hanging="94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78" w:hanging="944"/>
      </w:pPr>
      <w:rPr>
        <w:rFonts w:ascii="Arial" w:eastAsia="Arial" w:hAnsi="Arial" w:hint="default"/>
        <w:color w:val="545454"/>
        <w:w w:val="103"/>
        <w:sz w:val="28"/>
        <w:szCs w:val="28"/>
      </w:rPr>
    </w:lvl>
    <w:lvl w:ilvl="3">
      <w:start w:val="13"/>
      <w:numFmt w:val="upperLetter"/>
      <w:lvlText w:val="%4."/>
      <w:lvlJc w:val="left"/>
      <w:pPr>
        <w:ind w:left="4263" w:hanging="375"/>
      </w:pPr>
      <w:rPr>
        <w:rFonts w:ascii="Arial" w:eastAsia="Arial" w:hAnsi="Arial" w:hint="default"/>
        <w:color w:val="4D4D4D"/>
        <w:w w:val="95"/>
        <w:sz w:val="28"/>
        <w:szCs w:val="28"/>
      </w:rPr>
    </w:lvl>
    <w:lvl w:ilvl="4">
      <w:start w:val="19"/>
      <w:numFmt w:val="upperLetter"/>
      <w:lvlText w:val="%5."/>
      <w:lvlJc w:val="left"/>
      <w:pPr>
        <w:ind w:left="4457" w:hanging="339"/>
      </w:pPr>
      <w:rPr>
        <w:rFonts w:ascii="Arial" w:eastAsia="Arial" w:hAnsi="Arial" w:hint="default"/>
        <w:color w:val="4D4D4D"/>
        <w:w w:val="92"/>
        <w:sz w:val="28"/>
        <w:szCs w:val="28"/>
      </w:rPr>
    </w:lvl>
    <w:lvl w:ilvl="5">
      <w:start w:val="1"/>
      <w:numFmt w:val="upperRoman"/>
      <w:lvlText w:val="%6."/>
      <w:lvlJc w:val="left"/>
      <w:pPr>
        <w:ind w:left="4594" w:hanging="260"/>
      </w:pPr>
      <w:rPr>
        <w:rFonts w:ascii="Arial" w:eastAsia="Arial" w:hAnsi="Arial" w:hint="default"/>
        <w:color w:val="4D4D4D"/>
        <w:w w:val="146"/>
        <w:sz w:val="27"/>
        <w:szCs w:val="27"/>
      </w:rPr>
    </w:lvl>
    <w:lvl w:ilvl="6">
      <w:start w:val="1"/>
      <w:numFmt w:val="bullet"/>
      <w:lvlText w:val="•"/>
      <w:lvlJc w:val="left"/>
      <w:pPr>
        <w:ind w:left="675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813"/>
    <w:rsid w:val="002C004B"/>
    <w:rsid w:val="003215F7"/>
    <w:rsid w:val="004E6067"/>
    <w:rsid w:val="00877813"/>
    <w:rsid w:val="00B62AAD"/>
    <w:rsid w:val="00C621A7"/>
    <w:rsid w:val="00E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EB006AB-5A0C-4035-BA63-F332C013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35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2017-03-09T11:10:00Z</dcterms:created>
  <dcterms:modified xsi:type="dcterms:W3CDTF">2017-03-14T08:06:00Z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</Properties>
</file>