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E3" w:rsidRPr="004E72E3" w:rsidRDefault="00690EDC">
      <w:pPr>
        <w:pStyle w:val="Bodytext20"/>
        <w:shd w:val="clear" w:color="auto" w:fill="auto"/>
        <w:spacing w:after="289"/>
        <w:ind w:left="40"/>
        <w:rPr>
          <w:rFonts w:ascii="Arial" w:hAnsi="Arial" w:cs="Arial"/>
          <w:color w:val="auto"/>
          <w:sz w:val="22"/>
          <w:szCs w:val="22"/>
        </w:rPr>
      </w:pPr>
      <w:r w:rsidRPr="004E72E3">
        <w:rPr>
          <w:rFonts w:ascii="Arial" w:hAnsi="Arial" w:cs="Arial"/>
          <w:color w:val="auto"/>
          <w:sz w:val="22"/>
          <w:szCs w:val="22"/>
        </w:rPr>
        <w:t xml:space="preserve">IN </w:t>
      </w:r>
      <w:r w:rsidR="004E72E3" w:rsidRPr="004E72E3">
        <w:rPr>
          <w:rFonts w:ascii="Arial" w:hAnsi="Arial" w:cs="Arial"/>
          <w:color w:val="auto"/>
          <w:sz w:val="22"/>
          <w:szCs w:val="22"/>
        </w:rPr>
        <w:t>THE COURT OF APPEAL OF TANZANIA</w:t>
      </w:r>
    </w:p>
    <w:p w:rsidR="008002C0" w:rsidRPr="004E72E3" w:rsidRDefault="00690EDC">
      <w:pPr>
        <w:pStyle w:val="Bodytext20"/>
        <w:shd w:val="clear" w:color="auto" w:fill="auto"/>
        <w:spacing w:after="289"/>
        <w:ind w:left="40"/>
        <w:rPr>
          <w:rFonts w:ascii="Arial" w:hAnsi="Arial" w:cs="Arial"/>
          <w:color w:val="auto"/>
          <w:sz w:val="22"/>
          <w:szCs w:val="22"/>
        </w:rPr>
      </w:pPr>
      <w:r w:rsidRPr="004E72E3">
        <w:rPr>
          <w:rStyle w:val="Bodytext21"/>
          <w:rFonts w:ascii="Arial" w:hAnsi="Arial" w:cs="Arial"/>
          <w:b/>
          <w:bCs/>
          <w:color w:val="auto"/>
          <w:sz w:val="22"/>
          <w:szCs w:val="22"/>
        </w:rPr>
        <w:t>AT DODOMA</w:t>
      </w:r>
    </w:p>
    <w:p w:rsidR="008002C0" w:rsidRPr="004E72E3" w:rsidRDefault="00690EDC">
      <w:pPr>
        <w:pStyle w:val="Bodytext20"/>
        <w:shd w:val="clear" w:color="auto" w:fill="auto"/>
        <w:spacing w:after="274" w:line="230" w:lineRule="exact"/>
        <w:ind w:left="40"/>
        <w:rPr>
          <w:rFonts w:ascii="Arial" w:hAnsi="Arial" w:cs="Arial"/>
          <w:color w:val="auto"/>
          <w:sz w:val="22"/>
          <w:szCs w:val="22"/>
          <w:u w:val="single"/>
        </w:rPr>
      </w:pPr>
      <w:r w:rsidRPr="004E72E3">
        <w:rPr>
          <w:rFonts w:ascii="Arial" w:hAnsi="Arial" w:cs="Arial"/>
          <w:color w:val="auto"/>
          <w:sz w:val="22"/>
          <w:szCs w:val="22"/>
          <w:u w:val="single"/>
        </w:rPr>
        <w:t xml:space="preserve">(CORAM: </w:t>
      </w:r>
      <w:r w:rsidRPr="004E72E3">
        <w:rPr>
          <w:rStyle w:val="Bodytext21"/>
          <w:rFonts w:ascii="Arial" w:hAnsi="Arial" w:cs="Arial"/>
          <w:b/>
          <w:bCs/>
          <w:color w:val="auto"/>
          <w:sz w:val="22"/>
          <w:szCs w:val="22"/>
        </w:rPr>
        <w:t>KILEO. J.</w:t>
      </w:r>
      <w:r w:rsidR="004E72E3" w:rsidRPr="004E72E3">
        <w:rPr>
          <w:rStyle w:val="Bodytext21"/>
          <w:rFonts w:ascii="Arial" w:hAnsi="Arial" w:cs="Arial"/>
          <w:b/>
          <w:bCs/>
          <w:color w:val="auto"/>
          <w:sz w:val="22"/>
          <w:szCs w:val="22"/>
        </w:rPr>
        <w:t>A., ORIYO, 3.A.. And JUMA, J.A.)</w:t>
      </w:r>
    </w:p>
    <w:p w:rsidR="008002C0" w:rsidRPr="004E72E3" w:rsidRDefault="00690EDC">
      <w:pPr>
        <w:pStyle w:val="Bodytext20"/>
        <w:shd w:val="clear" w:color="auto" w:fill="auto"/>
        <w:spacing w:after="0" w:line="580" w:lineRule="exact"/>
        <w:ind w:left="40"/>
        <w:rPr>
          <w:rFonts w:ascii="Arial" w:hAnsi="Arial" w:cs="Arial"/>
          <w:color w:val="auto"/>
          <w:sz w:val="22"/>
          <w:szCs w:val="22"/>
        </w:rPr>
      </w:pPr>
      <w:r w:rsidRPr="004E72E3">
        <w:rPr>
          <w:rFonts w:ascii="Arial" w:hAnsi="Arial" w:cs="Arial"/>
          <w:color w:val="auto"/>
          <w:sz w:val="22"/>
          <w:szCs w:val="22"/>
        </w:rPr>
        <w:t>CRIMINAL APPEAL NO. 409 OF 2015</w:t>
      </w:r>
    </w:p>
    <w:p w:rsidR="008002C0" w:rsidRPr="004E72E3" w:rsidRDefault="00690EDC">
      <w:pPr>
        <w:pStyle w:val="Bodytext20"/>
        <w:shd w:val="clear" w:color="auto" w:fill="auto"/>
        <w:tabs>
          <w:tab w:val="right" w:leader="dot" w:pos="9394"/>
        </w:tabs>
        <w:spacing w:after="0" w:line="580" w:lineRule="exact"/>
        <w:ind w:left="20"/>
        <w:jc w:val="both"/>
        <w:rPr>
          <w:rFonts w:ascii="Arial" w:hAnsi="Arial" w:cs="Arial"/>
          <w:color w:val="auto"/>
          <w:sz w:val="22"/>
          <w:szCs w:val="22"/>
        </w:rPr>
      </w:pPr>
      <w:r w:rsidRPr="004E72E3">
        <w:rPr>
          <w:rFonts w:ascii="Arial" w:hAnsi="Arial" w:cs="Arial"/>
          <w:color w:val="auto"/>
          <w:sz w:val="22"/>
          <w:szCs w:val="22"/>
        </w:rPr>
        <w:t>ISSA RAMADHAN</w:t>
      </w:r>
      <w:r w:rsidRPr="004E72E3">
        <w:rPr>
          <w:rFonts w:ascii="Arial" w:hAnsi="Arial" w:cs="Arial"/>
          <w:color w:val="auto"/>
          <w:sz w:val="22"/>
          <w:szCs w:val="22"/>
        </w:rPr>
        <w:tab/>
        <w:t>APPELLANT</w:t>
      </w:r>
    </w:p>
    <w:p w:rsidR="008002C0" w:rsidRPr="004E72E3" w:rsidRDefault="00690EDC">
      <w:pPr>
        <w:pStyle w:val="Bodytext20"/>
        <w:shd w:val="clear" w:color="auto" w:fill="auto"/>
        <w:spacing w:after="0" w:line="580" w:lineRule="exact"/>
        <w:ind w:left="40"/>
        <w:rPr>
          <w:rFonts w:ascii="Arial" w:hAnsi="Arial" w:cs="Arial"/>
          <w:color w:val="auto"/>
          <w:sz w:val="22"/>
          <w:szCs w:val="22"/>
        </w:rPr>
      </w:pPr>
      <w:r w:rsidRPr="004E72E3">
        <w:rPr>
          <w:rFonts w:ascii="Arial" w:hAnsi="Arial" w:cs="Arial"/>
          <w:color w:val="auto"/>
          <w:sz w:val="22"/>
          <w:szCs w:val="22"/>
        </w:rPr>
        <w:t>VERSUS</w:t>
      </w:r>
    </w:p>
    <w:p w:rsidR="008002C0" w:rsidRPr="004E72E3" w:rsidRDefault="00690EDC">
      <w:pPr>
        <w:pStyle w:val="Bodytext20"/>
        <w:shd w:val="clear" w:color="auto" w:fill="auto"/>
        <w:tabs>
          <w:tab w:val="left" w:leader="dot" w:pos="7623"/>
        </w:tabs>
        <w:spacing w:after="183" w:line="230" w:lineRule="exact"/>
        <w:ind w:left="20"/>
        <w:jc w:val="both"/>
        <w:rPr>
          <w:rFonts w:ascii="Arial" w:hAnsi="Arial" w:cs="Arial"/>
          <w:color w:val="auto"/>
          <w:sz w:val="22"/>
          <w:szCs w:val="22"/>
        </w:rPr>
      </w:pPr>
      <w:r w:rsidRPr="004E72E3">
        <w:rPr>
          <w:rFonts w:ascii="Arial" w:hAnsi="Arial" w:cs="Arial"/>
          <w:color w:val="auto"/>
          <w:sz w:val="22"/>
          <w:szCs w:val="22"/>
        </w:rPr>
        <w:t>THE REPUBLIC</w:t>
      </w:r>
      <w:r w:rsidRPr="004E72E3">
        <w:rPr>
          <w:rFonts w:ascii="Arial" w:hAnsi="Arial" w:cs="Arial"/>
          <w:color w:val="auto"/>
          <w:sz w:val="22"/>
          <w:szCs w:val="22"/>
        </w:rPr>
        <w:tab/>
        <w:t>RESPONDENT</w:t>
      </w:r>
    </w:p>
    <w:p w:rsidR="008002C0" w:rsidRPr="004E72E3" w:rsidRDefault="00690EDC">
      <w:pPr>
        <w:pStyle w:val="Bodytext20"/>
        <w:shd w:val="clear" w:color="auto" w:fill="auto"/>
        <w:spacing w:after="0" w:line="230" w:lineRule="exact"/>
        <w:ind w:left="40"/>
        <w:rPr>
          <w:rFonts w:ascii="Arial" w:hAnsi="Arial" w:cs="Arial"/>
          <w:color w:val="auto"/>
          <w:sz w:val="22"/>
          <w:szCs w:val="22"/>
        </w:rPr>
      </w:pPr>
      <w:r w:rsidRPr="004E72E3">
        <w:rPr>
          <w:rFonts w:ascii="Arial" w:hAnsi="Arial" w:cs="Arial"/>
          <w:color w:val="auto"/>
          <w:sz w:val="22"/>
          <w:szCs w:val="22"/>
        </w:rPr>
        <w:t>(Appeal from the decision of the High Court of Tanzania</w:t>
      </w:r>
    </w:p>
    <w:p w:rsidR="008002C0" w:rsidRPr="004E72E3" w:rsidRDefault="00690EDC">
      <w:pPr>
        <w:pStyle w:val="Bodytext20"/>
        <w:shd w:val="clear" w:color="auto" w:fill="auto"/>
        <w:spacing w:after="310" w:line="230" w:lineRule="exact"/>
        <w:ind w:left="40"/>
        <w:rPr>
          <w:rFonts w:ascii="Arial" w:hAnsi="Arial" w:cs="Arial"/>
          <w:color w:val="auto"/>
          <w:sz w:val="22"/>
          <w:szCs w:val="22"/>
        </w:rPr>
      </w:pPr>
      <w:r w:rsidRPr="004E72E3">
        <w:rPr>
          <w:rFonts w:ascii="Arial" w:hAnsi="Arial" w:cs="Arial"/>
          <w:color w:val="auto"/>
          <w:sz w:val="22"/>
          <w:szCs w:val="22"/>
        </w:rPr>
        <w:t>at Dodoma)</w:t>
      </w:r>
    </w:p>
    <w:p w:rsidR="008002C0" w:rsidRPr="004E72E3" w:rsidRDefault="00690EDC">
      <w:pPr>
        <w:pStyle w:val="Bodytext20"/>
        <w:shd w:val="clear" w:color="auto" w:fill="auto"/>
        <w:spacing w:after="396" w:line="230" w:lineRule="exact"/>
        <w:ind w:left="40"/>
        <w:rPr>
          <w:rFonts w:ascii="Arial" w:hAnsi="Arial" w:cs="Arial"/>
          <w:color w:val="auto"/>
          <w:sz w:val="22"/>
          <w:szCs w:val="22"/>
        </w:rPr>
      </w:pPr>
      <w:r w:rsidRPr="004E72E3">
        <w:rPr>
          <w:rFonts w:ascii="Arial" w:hAnsi="Arial" w:cs="Arial"/>
          <w:color w:val="auto"/>
          <w:sz w:val="22"/>
          <w:szCs w:val="22"/>
        </w:rPr>
        <w:t>(</w:t>
      </w:r>
      <w:r w:rsidRPr="004E72E3">
        <w:rPr>
          <w:rStyle w:val="Bodytext21"/>
          <w:rFonts w:ascii="Arial" w:hAnsi="Arial" w:cs="Arial"/>
          <w:b/>
          <w:bCs/>
          <w:color w:val="auto"/>
          <w:sz w:val="22"/>
          <w:szCs w:val="22"/>
        </w:rPr>
        <w:t>Mohamed, J.</w:t>
      </w:r>
      <w:r w:rsidR="004E72E3" w:rsidRPr="004E72E3">
        <w:rPr>
          <w:rFonts w:ascii="Arial" w:hAnsi="Arial" w:cs="Arial"/>
          <w:color w:val="auto"/>
          <w:sz w:val="22"/>
          <w:szCs w:val="22"/>
        </w:rPr>
        <w:t>)</w:t>
      </w:r>
    </w:p>
    <w:p w:rsidR="004E72E3" w:rsidRPr="004E72E3" w:rsidRDefault="00690EDC">
      <w:pPr>
        <w:pStyle w:val="Bodytext20"/>
        <w:shd w:val="clear" w:color="auto" w:fill="auto"/>
        <w:spacing w:after="0" w:line="335" w:lineRule="exact"/>
        <w:ind w:left="40"/>
        <w:rPr>
          <w:rFonts w:ascii="Arial" w:hAnsi="Arial" w:cs="Arial"/>
          <w:color w:val="auto"/>
          <w:sz w:val="22"/>
          <w:szCs w:val="22"/>
        </w:rPr>
      </w:pPr>
      <w:r w:rsidRPr="004E72E3">
        <w:rPr>
          <w:rFonts w:ascii="Arial" w:hAnsi="Arial" w:cs="Arial"/>
          <w:color w:val="auto"/>
          <w:sz w:val="22"/>
          <w:szCs w:val="22"/>
        </w:rPr>
        <w:t>dated the 15</w:t>
      </w:r>
      <w:r w:rsidRPr="004E72E3">
        <w:rPr>
          <w:rFonts w:ascii="Arial" w:hAnsi="Arial" w:cs="Arial"/>
          <w:color w:val="auto"/>
          <w:sz w:val="22"/>
          <w:szCs w:val="22"/>
          <w:vertAlign w:val="superscript"/>
        </w:rPr>
        <w:t>th</w:t>
      </w:r>
      <w:r w:rsidR="004E72E3" w:rsidRPr="004E72E3">
        <w:rPr>
          <w:rFonts w:ascii="Arial" w:hAnsi="Arial" w:cs="Arial"/>
          <w:color w:val="auto"/>
          <w:sz w:val="22"/>
          <w:szCs w:val="22"/>
        </w:rPr>
        <w:t xml:space="preserve"> day of July, 2015</w:t>
      </w:r>
    </w:p>
    <w:p w:rsidR="008002C0" w:rsidRPr="004E72E3" w:rsidRDefault="00690EDC">
      <w:pPr>
        <w:pStyle w:val="Bodytext20"/>
        <w:shd w:val="clear" w:color="auto" w:fill="auto"/>
        <w:spacing w:after="0" w:line="335" w:lineRule="exact"/>
        <w:ind w:left="40"/>
        <w:rPr>
          <w:rFonts w:ascii="Arial" w:hAnsi="Arial" w:cs="Arial"/>
          <w:color w:val="auto"/>
          <w:sz w:val="22"/>
          <w:szCs w:val="22"/>
        </w:rPr>
      </w:pPr>
      <w:r w:rsidRPr="004E72E3">
        <w:rPr>
          <w:rFonts w:ascii="Arial" w:hAnsi="Arial" w:cs="Arial"/>
          <w:color w:val="auto"/>
          <w:sz w:val="22"/>
          <w:szCs w:val="22"/>
        </w:rPr>
        <w:t>in</w:t>
      </w:r>
    </w:p>
    <w:p w:rsidR="008002C0" w:rsidRPr="004E72E3" w:rsidRDefault="00690EDC">
      <w:pPr>
        <w:pStyle w:val="Bodytext20"/>
        <w:shd w:val="clear" w:color="auto" w:fill="auto"/>
        <w:spacing w:after="850" w:line="230" w:lineRule="exact"/>
        <w:ind w:left="40"/>
        <w:rPr>
          <w:rFonts w:ascii="Arial" w:hAnsi="Arial" w:cs="Arial"/>
          <w:color w:val="auto"/>
          <w:sz w:val="22"/>
          <w:szCs w:val="22"/>
        </w:rPr>
      </w:pPr>
      <w:r w:rsidRPr="004E72E3">
        <w:rPr>
          <w:rStyle w:val="Bodytext21"/>
          <w:rFonts w:ascii="Arial" w:hAnsi="Arial" w:cs="Arial"/>
          <w:b/>
          <w:bCs/>
          <w:color w:val="auto"/>
          <w:sz w:val="22"/>
          <w:szCs w:val="22"/>
        </w:rPr>
        <w:t>Criminal Appeal No. 49 of 2012</w:t>
      </w:r>
    </w:p>
    <w:p w:rsidR="008002C0" w:rsidRPr="004E72E3" w:rsidRDefault="00690EDC">
      <w:pPr>
        <w:pStyle w:val="Bodytext20"/>
        <w:shd w:val="clear" w:color="auto" w:fill="auto"/>
        <w:spacing w:after="226" w:line="230" w:lineRule="exact"/>
        <w:ind w:left="40"/>
        <w:rPr>
          <w:rFonts w:ascii="Arial" w:hAnsi="Arial" w:cs="Arial"/>
          <w:color w:val="auto"/>
          <w:sz w:val="22"/>
          <w:szCs w:val="22"/>
        </w:rPr>
      </w:pPr>
      <w:r w:rsidRPr="004E72E3">
        <w:rPr>
          <w:rStyle w:val="Bodytext21"/>
          <w:rFonts w:ascii="Arial" w:hAnsi="Arial" w:cs="Arial"/>
          <w:b/>
          <w:bCs/>
          <w:color w:val="auto"/>
          <w:sz w:val="22"/>
          <w:szCs w:val="22"/>
        </w:rPr>
        <w:t>JUDGMENT OF THE COURT</w:t>
      </w:r>
    </w:p>
    <w:p w:rsidR="008002C0" w:rsidRPr="004E72E3" w:rsidRDefault="00690EDC">
      <w:pPr>
        <w:pStyle w:val="Bodytext30"/>
        <w:shd w:val="clear" w:color="auto" w:fill="auto"/>
        <w:spacing w:before="0" w:after="308" w:line="190" w:lineRule="exact"/>
        <w:ind w:left="20"/>
        <w:rPr>
          <w:rFonts w:ascii="Arial" w:hAnsi="Arial" w:cs="Arial"/>
          <w:color w:val="auto"/>
          <w:sz w:val="22"/>
          <w:szCs w:val="22"/>
        </w:rPr>
      </w:pPr>
      <w:r w:rsidRPr="004E72E3">
        <w:rPr>
          <w:rFonts w:ascii="Arial" w:hAnsi="Arial" w:cs="Arial"/>
          <w:color w:val="auto"/>
          <w:sz w:val="22"/>
          <w:szCs w:val="22"/>
        </w:rPr>
        <w:t>12</w:t>
      </w:r>
      <w:r w:rsidRPr="004E72E3">
        <w:rPr>
          <w:rFonts w:ascii="Arial" w:hAnsi="Arial" w:cs="Arial"/>
          <w:color w:val="auto"/>
          <w:sz w:val="22"/>
          <w:szCs w:val="22"/>
          <w:vertAlign w:val="superscript"/>
        </w:rPr>
        <w:t>th</w:t>
      </w:r>
      <w:r w:rsidRPr="004E72E3">
        <w:rPr>
          <w:rFonts w:ascii="Arial" w:hAnsi="Arial" w:cs="Arial"/>
          <w:color w:val="auto"/>
          <w:sz w:val="22"/>
          <w:szCs w:val="22"/>
        </w:rPr>
        <w:t xml:space="preserve"> &amp; 14</w:t>
      </w:r>
      <w:r w:rsidRPr="004E72E3">
        <w:rPr>
          <w:rFonts w:ascii="Arial" w:hAnsi="Arial" w:cs="Arial"/>
          <w:color w:val="auto"/>
          <w:sz w:val="22"/>
          <w:szCs w:val="22"/>
          <w:vertAlign w:val="superscript"/>
        </w:rPr>
        <w:t>th</w:t>
      </w:r>
      <w:r w:rsidRPr="004E72E3">
        <w:rPr>
          <w:rFonts w:ascii="Arial" w:hAnsi="Arial" w:cs="Arial"/>
          <w:color w:val="auto"/>
          <w:sz w:val="22"/>
          <w:szCs w:val="22"/>
        </w:rPr>
        <w:t xml:space="preserve"> April, 2016</w:t>
      </w:r>
    </w:p>
    <w:p w:rsidR="008002C0" w:rsidRPr="004E72E3" w:rsidRDefault="00690EDC">
      <w:pPr>
        <w:pStyle w:val="Bodytext40"/>
        <w:shd w:val="clear" w:color="auto" w:fill="auto"/>
        <w:spacing w:before="0" w:after="111" w:line="270" w:lineRule="exact"/>
        <w:ind w:left="20"/>
        <w:rPr>
          <w:rFonts w:ascii="Arial" w:hAnsi="Arial" w:cs="Arial"/>
          <w:color w:val="auto"/>
          <w:sz w:val="22"/>
          <w:szCs w:val="22"/>
        </w:rPr>
      </w:pPr>
      <w:r w:rsidRPr="004E72E3">
        <w:rPr>
          <w:rStyle w:val="Bodytext41"/>
          <w:rFonts w:ascii="Arial" w:hAnsi="Arial" w:cs="Arial"/>
          <w:b/>
          <w:bCs/>
          <w:color w:val="auto"/>
          <w:sz w:val="22"/>
          <w:szCs w:val="22"/>
        </w:rPr>
        <w:t>KILEO, J.A.:</w:t>
      </w:r>
    </w:p>
    <w:p w:rsidR="008002C0" w:rsidRPr="004E72E3" w:rsidRDefault="00690EDC">
      <w:pPr>
        <w:pStyle w:val="BodyText1"/>
        <w:shd w:val="clear" w:color="auto" w:fill="auto"/>
        <w:spacing w:before="0" w:after="63"/>
        <w:ind w:left="20" w:right="20" w:firstLine="700"/>
        <w:rPr>
          <w:rFonts w:ascii="Arial" w:hAnsi="Arial" w:cs="Arial"/>
          <w:color w:val="auto"/>
          <w:sz w:val="22"/>
          <w:szCs w:val="22"/>
        </w:rPr>
      </w:pPr>
      <w:r w:rsidRPr="004E72E3">
        <w:rPr>
          <w:rFonts w:ascii="Arial" w:hAnsi="Arial" w:cs="Arial"/>
          <w:color w:val="auto"/>
          <w:sz w:val="22"/>
          <w:szCs w:val="22"/>
        </w:rPr>
        <w:t xml:space="preserve">The appellant Issa Ramadhani was, in the District Court of Kondoa, convicted of rape contrary to section 130 (1) of </w:t>
      </w:r>
      <w:r w:rsidRPr="004E72E3">
        <w:rPr>
          <w:rFonts w:ascii="Arial" w:hAnsi="Arial" w:cs="Arial"/>
          <w:color w:val="auto"/>
          <w:sz w:val="22"/>
          <w:szCs w:val="22"/>
        </w:rPr>
        <w:t>the Penal Code, Cap 16, R. E. 2002 and sentenced to thirty years imprisonment. He unsuccessfully appealed to the High Court, hence this second appeal.</w:t>
      </w:r>
    </w:p>
    <w:p w:rsidR="008002C0" w:rsidRPr="004E72E3" w:rsidRDefault="00690EDC">
      <w:pPr>
        <w:pStyle w:val="BodyText1"/>
        <w:shd w:val="clear" w:color="auto" w:fill="auto"/>
        <w:spacing w:before="0" w:after="57" w:line="670" w:lineRule="exact"/>
        <w:ind w:left="20" w:right="20" w:firstLine="700"/>
        <w:rPr>
          <w:rFonts w:ascii="Arial" w:hAnsi="Arial" w:cs="Arial"/>
          <w:color w:val="auto"/>
          <w:sz w:val="22"/>
          <w:szCs w:val="22"/>
        </w:rPr>
      </w:pPr>
      <w:r w:rsidRPr="004E72E3">
        <w:rPr>
          <w:rFonts w:ascii="Arial" w:hAnsi="Arial" w:cs="Arial"/>
          <w:color w:val="auto"/>
          <w:sz w:val="22"/>
          <w:szCs w:val="22"/>
        </w:rPr>
        <w:t xml:space="preserve">The facts of the case upon which the appellant was convicted are simple and straight forward. The victim </w:t>
      </w:r>
      <w:r w:rsidRPr="004E72E3">
        <w:rPr>
          <w:rFonts w:ascii="Arial" w:hAnsi="Arial" w:cs="Arial"/>
          <w:color w:val="auto"/>
          <w:sz w:val="22"/>
          <w:szCs w:val="22"/>
        </w:rPr>
        <w:t>of the crime who did not testify at the trial was a girl of unsound mind as testified by her father, PW1. On the material date both PW2 and PW3 participated in the search of the victim after an alarm had been raised from the house of PW1 that the victim ha</w:t>
      </w:r>
      <w:r w:rsidRPr="004E72E3">
        <w:rPr>
          <w:rFonts w:ascii="Arial" w:hAnsi="Arial" w:cs="Arial"/>
          <w:color w:val="auto"/>
          <w:sz w:val="22"/>
          <w:szCs w:val="22"/>
        </w:rPr>
        <w:t xml:space="preserve">d gone </w:t>
      </w:r>
      <w:r w:rsidRPr="004E72E3">
        <w:rPr>
          <w:rFonts w:ascii="Arial" w:hAnsi="Arial" w:cs="Arial"/>
          <w:color w:val="auto"/>
          <w:sz w:val="22"/>
          <w:szCs w:val="22"/>
        </w:rPr>
        <w:lastRenderedPageBreak/>
        <w:t xml:space="preserve">missing. In the course of the search they heard a child crying and as they approached the place where they heard the cry coming from, they found the appellant in the act of raping the girl. He was apprehended, taken to the Village Executive Officer </w:t>
      </w:r>
      <w:r w:rsidRPr="004E72E3">
        <w:rPr>
          <w:rFonts w:ascii="Arial" w:hAnsi="Arial" w:cs="Arial"/>
          <w:color w:val="auto"/>
          <w:sz w:val="22"/>
          <w:szCs w:val="22"/>
        </w:rPr>
        <w:t xml:space="preserve">and eventually to court for trial. PW4 was a medical doctor at Kondoa District Hospital to whom the victim was taken for attention. In his examination, the report of which is contained in the PF3, exhibit PI; he observed that the victim had bruises on the </w:t>
      </w:r>
      <w:r w:rsidRPr="004E72E3">
        <w:rPr>
          <w:rFonts w:ascii="Arial" w:hAnsi="Arial" w:cs="Arial"/>
          <w:color w:val="auto"/>
          <w:sz w:val="22"/>
          <w:szCs w:val="22"/>
        </w:rPr>
        <w:t>vagina as well as the anus. In his defence the appellant made a general denial claiming that he was arrested, beaten up and taken to the police and eventually to court for the charge of rape which he had not committed.</w:t>
      </w:r>
    </w:p>
    <w:p w:rsidR="008002C0" w:rsidRPr="004E72E3" w:rsidRDefault="00690EDC">
      <w:pPr>
        <w:pStyle w:val="BodyText1"/>
        <w:shd w:val="clear" w:color="auto" w:fill="auto"/>
        <w:spacing w:before="0" w:after="69"/>
        <w:ind w:left="20" w:right="20" w:firstLine="740"/>
        <w:rPr>
          <w:rFonts w:ascii="Arial" w:hAnsi="Arial" w:cs="Arial"/>
          <w:color w:val="auto"/>
          <w:sz w:val="22"/>
          <w:szCs w:val="22"/>
        </w:rPr>
      </w:pPr>
      <w:r w:rsidRPr="004E72E3">
        <w:rPr>
          <w:rFonts w:ascii="Arial" w:hAnsi="Arial" w:cs="Arial"/>
          <w:color w:val="auto"/>
          <w:sz w:val="22"/>
          <w:szCs w:val="22"/>
        </w:rPr>
        <w:t>The appellant appeared in person at t</w:t>
      </w:r>
      <w:r w:rsidRPr="004E72E3">
        <w:rPr>
          <w:rFonts w:ascii="Arial" w:hAnsi="Arial" w:cs="Arial"/>
          <w:color w:val="auto"/>
          <w:sz w:val="22"/>
          <w:szCs w:val="22"/>
        </w:rPr>
        <w:t>he trial having filed a memorandum of appeal comprising of six grounds of appeal. The six grounds can be conveniently condensed into two grounds, namely:</w:t>
      </w:r>
    </w:p>
    <w:p w:rsidR="008002C0" w:rsidRPr="004E72E3" w:rsidRDefault="004E72E3" w:rsidP="004E72E3">
      <w:pPr>
        <w:pStyle w:val="BodyText1"/>
        <w:shd w:val="clear" w:color="auto" w:fill="auto"/>
        <w:tabs>
          <w:tab w:val="left" w:pos="1071"/>
        </w:tabs>
        <w:spacing w:before="0" w:after="0" w:line="662" w:lineRule="exact"/>
        <w:ind w:left="1100" w:right="20"/>
        <w:jc w:val="left"/>
        <w:rPr>
          <w:rFonts w:ascii="Arial" w:hAnsi="Arial" w:cs="Arial"/>
          <w:color w:val="auto"/>
          <w:sz w:val="22"/>
          <w:szCs w:val="22"/>
        </w:rPr>
      </w:pPr>
      <w:r w:rsidRPr="004E72E3">
        <w:rPr>
          <w:rFonts w:ascii="Arial" w:hAnsi="Arial" w:cs="Arial"/>
          <w:color w:val="auto"/>
          <w:sz w:val="22"/>
          <w:szCs w:val="22"/>
        </w:rPr>
        <w:t>1.</w:t>
      </w:r>
      <w:r w:rsidRPr="004E72E3">
        <w:rPr>
          <w:rFonts w:ascii="Arial" w:hAnsi="Arial" w:cs="Arial"/>
          <w:color w:val="auto"/>
          <w:sz w:val="22"/>
          <w:szCs w:val="22"/>
        </w:rPr>
        <w:tab/>
      </w:r>
      <w:r w:rsidR="00690EDC" w:rsidRPr="004E72E3">
        <w:rPr>
          <w:rFonts w:ascii="Arial" w:hAnsi="Arial" w:cs="Arial"/>
          <w:color w:val="auto"/>
          <w:sz w:val="22"/>
          <w:szCs w:val="22"/>
        </w:rPr>
        <w:t xml:space="preserve">That the charge against the appellant was not proven because the victim of the crime did not testify </w:t>
      </w:r>
      <w:r w:rsidR="00690EDC" w:rsidRPr="004E72E3">
        <w:rPr>
          <w:rFonts w:ascii="Arial" w:hAnsi="Arial" w:cs="Arial"/>
          <w:color w:val="auto"/>
          <w:sz w:val="22"/>
          <w:szCs w:val="22"/>
        </w:rPr>
        <w:t>in court.</w:t>
      </w:r>
    </w:p>
    <w:p w:rsidR="008002C0" w:rsidRPr="004E72E3" w:rsidRDefault="004E72E3" w:rsidP="004E72E3">
      <w:pPr>
        <w:pStyle w:val="BodyText1"/>
        <w:shd w:val="clear" w:color="auto" w:fill="auto"/>
        <w:tabs>
          <w:tab w:val="left" w:pos="1071"/>
        </w:tabs>
        <w:spacing w:before="0" w:after="0" w:line="684" w:lineRule="exact"/>
        <w:ind w:left="1100" w:right="20"/>
        <w:jc w:val="left"/>
        <w:rPr>
          <w:rFonts w:ascii="Arial" w:hAnsi="Arial" w:cs="Arial"/>
          <w:color w:val="auto"/>
          <w:sz w:val="22"/>
          <w:szCs w:val="22"/>
        </w:rPr>
      </w:pPr>
      <w:r w:rsidRPr="004E72E3">
        <w:rPr>
          <w:rFonts w:ascii="Arial" w:hAnsi="Arial" w:cs="Arial"/>
          <w:color w:val="auto"/>
          <w:sz w:val="22"/>
          <w:szCs w:val="22"/>
        </w:rPr>
        <w:t>2.</w:t>
      </w:r>
      <w:r w:rsidRPr="004E72E3">
        <w:rPr>
          <w:rFonts w:ascii="Arial" w:hAnsi="Arial" w:cs="Arial"/>
          <w:color w:val="auto"/>
          <w:sz w:val="22"/>
          <w:szCs w:val="22"/>
        </w:rPr>
        <w:tab/>
      </w:r>
      <w:r w:rsidR="00690EDC" w:rsidRPr="004E72E3">
        <w:rPr>
          <w:rFonts w:ascii="Arial" w:hAnsi="Arial" w:cs="Arial"/>
          <w:color w:val="auto"/>
          <w:sz w:val="22"/>
          <w:szCs w:val="22"/>
        </w:rPr>
        <w:t>That the case for the prosecution was not established because no police officer testified in court.</w:t>
      </w:r>
    </w:p>
    <w:p w:rsidR="008002C0" w:rsidRPr="004E72E3" w:rsidRDefault="00690EDC">
      <w:pPr>
        <w:pStyle w:val="BodyText1"/>
        <w:shd w:val="clear" w:color="auto" w:fill="auto"/>
        <w:spacing w:before="0" w:after="72" w:line="688" w:lineRule="exact"/>
        <w:ind w:left="20" w:right="40" w:firstLine="720"/>
        <w:rPr>
          <w:rFonts w:ascii="Arial" w:hAnsi="Arial" w:cs="Arial"/>
          <w:color w:val="auto"/>
          <w:sz w:val="22"/>
          <w:szCs w:val="22"/>
        </w:rPr>
      </w:pPr>
      <w:r w:rsidRPr="004E72E3">
        <w:rPr>
          <w:rFonts w:ascii="Arial" w:hAnsi="Arial" w:cs="Arial"/>
          <w:color w:val="auto"/>
          <w:sz w:val="22"/>
          <w:szCs w:val="22"/>
        </w:rPr>
        <w:t>In his brief submission at the hearing of the appeal the appellant contended that the two witnesses for the prosecution upon whose evidence was us</w:t>
      </w:r>
      <w:r w:rsidRPr="004E72E3">
        <w:rPr>
          <w:rFonts w:ascii="Arial" w:hAnsi="Arial" w:cs="Arial"/>
          <w:color w:val="auto"/>
          <w:sz w:val="22"/>
          <w:szCs w:val="22"/>
        </w:rPr>
        <w:t>ed to sustain the conviction were not sufficient. He averred that there was need for more witnesses to support the case for the prosecution.</w:t>
      </w:r>
    </w:p>
    <w:p w:rsidR="008002C0" w:rsidRPr="004E72E3" w:rsidRDefault="00690EDC">
      <w:pPr>
        <w:pStyle w:val="BodyText1"/>
        <w:shd w:val="clear" w:color="auto" w:fill="auto"/>
        <w:spacing w:before="0"/>
        <w:ind w:left="20" w:right="40" w:firstLine="720"/>
        <w:rPr>
          <w:rFonts w:ascii="Arial" w:hAnsi="Arial" w:cs="Arial"/>
          <w:color w:val="auto"/>
          <w:sz w:val="22"/>
          <w:szCs w:val="22"/>
        </w:rPr>
      </w:pPr>
      <w:r w:rsidRPr="004E72E3">
        <w:rPr>
          <w:rFonts w:ascii="Arial" w:hAnsi="Arial" w:cs="Arial"/>
          <w:color w:val="auto"/>
          <w:sz w:val="22"/>
          <w:szCs w:val="22"/>
        </w:rPr>
        <w:lastRenderedPageBreak/>
        <w:t>On the other hand, Ms. Chivanenda Luwongo, learned State Attorney who represented the respondent Republic supported</w:t>
      </w:r>
      <w:r w:rsidRPr="004E72E3">
        <w:rPr>
          <w:rFonts w:ascii="Arial" w:hAnsi="Arial" w:cs="Arial"/>
          <w:color w:val="auto"/>
          <w:sz w:val="22"/>
          <w:szCs w:val="22"/>
        </w:rPr>
        <w:t xml:space="preserve"> both conviction and sentence asserting that the evidence that was tendered at the trial sufficed and left no doubt as to the appellant's guilt.</w:t>
      </w:r>
    </w:p>
    <w:p w:rsidR="008002C0" w:rsidRPr="004E72E3" w:rsidRDefault="00690EDC">
      <w:pPr>
        <w:pStyle w:val="BodyText1"/>
        <w:shd w:val="clear" w:color="auto" w:fill="auto"/>
        <w:spacing w:before="0"/>
        <w:ind w:left="20" w:right="40" w:firstLine="720"/>
        <w:rPr>
          <w:rFonts w:ascii="Arial" w:hAnsi="Arial" w:cs="Arial"/>
          <w:color w:val="auto"/>
          <w:sz w:val="22"/>
          <w:szCs w:val="22"/>
        </w:rPr>
      </w:pPr>
      <w:r w:rsidRPr="004E72E3">
        <w:rPr>
          <w:rFonts w:ascii="Arial" w:hAnsi="Arial" w:cs="Arial"/>
          <w:color w:val="auto"/>
          <w:sz w:val="22"/>
          <w:szCs w:val="22"/>
        </w:rPr>
        <w:t>Referring to some disparity with regard to the date of the incident, she stated that it was not serious and did</w:t>
      </w:r>
      <w:r w:rsidRPr="004E72E3">
        <w:rPr>
          <w:rFonts w:ascii="Arial" w:hAnsi="Arial" w:cs="Arial"/>
          <w:color w:val="auto"/>
          <w:sz w:val="22"/>
          <w:szCs w:val="22"/>
        </w:rPr>
        <w:t xml:space="preserve"> not go to the root of the matter. We agree with her on this aspect considering that the inconsistency was merely with regard to the date of the incident with two witnesses saying it occurred on 13/12/2011 and one saying it was on 14/12/2001.</w:t>
      </w:r>
    </w:p>
    <w:p w:rsidR="008002C0" w:rsidRPr="004E72E3" w:rsidRDefault="00690EDC">
      <w:pPr>
        <w:pStyle w:val="BodyText1"/>
        <w:shd w:val="clear" w:color="auto" w:fill="auto"/>
        <w:spacing w:before="0" w:after="0"/>
        <w:ind w:left="20" w:right="40" w:firstLine="720"/>
        <w:rPr>
          <w:rFonts w:ascii="Arial" w:hAnsi="Arial" w:cs="Arial"/>
          <w:color w:val="auto"/>
          <w:sz w:val="22"/>
          <w:szCs w:val="22"/>
        </w:rPr>
      </w:pPr>
      <w:r w:rsidRPr="004E72E3">
        <w:rPr>
          <w:rFonts w:ascii="Arial" w:hAnsi="Arial" w:cs="Arial"/>
          <w:color w:val="auto"/>
          <w:sz w:val="22"/>
          <w:szCs w:val="22"/>
        </w:rPr>
        <w:t>On the guesti</w:t>
      </w:r>
      <w:r w:rsidRPr="004E72E3">
        <w:rPr>
          <w:rFonts w:ascii="Arial" w:hAnsi="Arial" w:cs="Arial"/>
          <w:color w:val="auto"/>
          <w:sz w:val="22"/>
          <w:szCs w:val="22"/>
        </w:rPr>
        <w:t>on of the failure of the prosecution to call the victim of the crime to testify, the learned State Attorney submitted that this factor alone could not weaken the case for the prosecution as it was in evidence from the father of the victim that the victim w</w:t>
      </w:r>
      <w:r w:rsidRPr="004E72E3">
        <w:rPr>
          <w:rFonts w:ascii="Arial" w:hAnsi="Arial" w:cs="Arial"/>
          <w:color w:val="auto"/>
          <w:sz w:val="22"/>
          <w:szCs w:val="22"/>
        </w:rPr>
        <w:t>as of unsound mind.</w:t>
      </w:r>
    </w:p>
    <w:p w:rsidR="008002C0" w:rsidRPr="004E72E3" w:rsidRDefault="00690EDC">
      <w:pPr>
        <w:pStyle w:val="BodyText1"/>
        <w:shd w:val="clear" w:color="auto" w:fill="auto"/>
        <w:spacing w:before="0" w:after="66" w:line="677" w:lineRule="exact"/>
        <w:ind w:left="20" w:right="80" w:firstLine="680"/>
        <w:rPr>
          <w:rFonts w:ascii="Arial" w:hAnsi="Arial" w:cs="Arial"/>
          <w:color w:val="auto"/>
          <w:sz w:val="22"/>
          <w:szCs w:val="22"/>
        </w:rPr>
      </w:pPr>
      <w:r w:rsidRPr="004E72E3">
        <w:rPr>
          <w:rFonts w:ascii="Arial" w:hAnsi="Arial" w:cs="Arial"/>
          <w:color w:val="auto"/>
          <w:sz w:val="22"/>
          <w:szCs w:val="22"/>
        </w:rPr>
        <w:t xml:space="preserve">This is not the first time that a court has arrived at a conviction without the testimony of the victim of the crime. We have held in a number of cases that conviction can be sustained independent of the evidence of the victim. See for </w:t>
      </w:r>
      <w:r w:rsidRPr="004E72E3">
        <w:rPr>
          <w:rFonts w:ascii="Arial" w:hAnsi="Arial" w:cs="Arial"/>
          <w:color w:val="auto"/>
          <w:sz w:val="22"/>
          <w:szCs w:val="22"/>
        </w:rPr>
        <w:t xml:space="preserve">example, </w:t>
      </w:r>
      <w:r w:rsidRPr="004E72E3">
        <w:rPr>
          <w:rStyle w:val="Bodytext135ptBold"/>
          <w:rFonts w:ascii="Arial" w:hAnsi="Arial" w:cs="Arial"/>
          <w:color w:val="auto"/>
          <w:sz w:val="22"/>
          <w:szCs w:val="22"/>
        </w:rPr>
        <w:t xml:space="preserve">Abdallah Elias v. the Republic, </w:t>
      </w:r>
      <w:r w:rsidRPr="004E72E3">
        <w:rPr>
          <w:rFonts w:ascii="Arial" w:hAnsi="Arial" w:cs="Arial"/>
          <w:color w:val="auto"/>
          <w:sz w:val="22"/>
          <w:szCs w:val="22"/>
        </w:rPr>
        <w:t xml:space="preserve">Criminal Appeal No. 115 of 2009, </w:t>
      </w:r>
      <w:r w:rsidRPr="004E72E3">
        <w:rPr>
          <w:rStyle w:val="Bodytext135ptBold"/>
          <w:rFonts w:ascii="Arial" w:hAnsi="Arial" w:cs="Arial"/>
          <w:color w:val="auto"/>
          <w:sz w:val="22"/>
          <w:szCs w:val="22"/>
        </w:rPr>
        <w:t xml:space="preserve">Haji Omary v. the Republic, </w:t>
      </w:r>
      <w:r w:rsidRPr="004E72E3">
        <w:rPr>
          <w:rFonts w:ascii="Arial" w:hAnsi="Arial" w:cs="Arial"/>
          <w:color w:val="auto"/>
          <w:sz w:val="22"/>
          <w:szCs w:val="22"/>
        </w:rPr>
        <w:t xml:space="preserve">Criminal Appeal No. 307 of 2009 and </w:t>
      </w:r>
      <w:r w:rsidRPr="004E72E3">
        <w:rPr>
          <w:rStyle w:val="Bodytext135ptBold"/>
          <w:rFonts w:ascii="Arial" w:hAnsi="Arial" w:cs="Arial"/>
          <w:color w:val="auto"/>
          <w:sz w:val="22"/>
          <w:szCs w:val="22"/>
        </w:rPr>
        <w:t xml:space="preserve">Fuku Lusamila v. the Republic, </w:t>
      </w:r>
      <w:r w:rsidRPr="004E72E3">
        <w:rPr>
          <w:rFonts w:ascii="Arial" w:hAnsi="Arial" w:cs="Arial"/>
          <w:color w:val="auto"/>
          <w:sz w:val="22"/>
          <w:szCs w:val="22"/>
        </w:rPr>
        <w:t xml:space="preserve">Criminal Appeal No. 12 of 2014 (all unreported) to mention, but a few. There is also a </w:t>
      </w:r>
      <w:r w:rsidRPr="004E72E3">
        <w:rPr>
          <w:rFonts w:ascii="Arial" w:hAnsi="Arial" w:cs="Arial"/>
          <w:color w:val="auto"/>
          <w:sz w:val="22"/>
          <w:szCs w:val="22"/>
        </w:rPr>
        <w:t xml:space="preserve">litany of cases where the testimonies of child victims of tender years have been expunged for non-compliance with the </w:t>
      </w:r>
      <w:r w:rsidRPr="004E72E3">
        <w:rPr>
          <w:rStyle w:val="BodytextItalicSpacing-1pt"/>
          <w:rFonts w:ascii="Arial" w:hAnsi="Arial" w:cs="Arial"/>
          <w:color w:val="auto"/>
          <w:spacing w:val="0"/>
          <w:sz w:val="22"/>
          <w:szCs w:val="22"/>
        </w:rPr>
        <w:t>voire dire</w:t>
      </w:r>
      <w:r w:rsidRPr="004E72E3">
        <w:rPr>
          <w:rFonts w:ascii="Arial" w:hAnsi="Arial" w:cs="Arial"/>
          <w:color w:val="auto"/>
          <w:sz w:val="22"/>
          <w:szCs w:val="22"/>
        </w:rPr>
        <w:t xml:space="preserve"> test and yet the courts arrive at a conviction independent of that evidence. (See </w:t>
      </w:r>
      <w:r w:rsidRPr="004E72E3">
        <w:rPr>
          <w:rStyle w:val="Bodytext135ptBold"/>
          <w:rFonts w:ascii="Arial" w:hAnsi="Arial" w:cs="Arial"/>
          <w:color w:val="auto"/>
          <w:sz w:val="22"/>
          <w:szCs w:val="22"/>
        </w:rPr>
        <w:t xml:space="preserve">Khamis Samwel v. the Republic, </w:t>
      </w:r>
      <w:r w:rsidRPr="004E72E3">
        <w:rPr>
          <w:rFonts w:ascii="Arial" w:hAnsi="Arial" w:cs="Arial"/>
          <w:color w:val="auto"/>
          <w:sz w:val="22"/>
          <w:szCs w:val="22"/>
        </w:rPr>
        <w:lastRenderedPageBreak/>
        <w:t>Criminal Appea</w:t>
      </w:r>
      <w:r w:rsidRPr="004E72E3">
        <w:rPr>
          <w:rFonts w:ascii="Arial" w:hAnsi="Arial" w:cs="Arial"/>
          <w:color w:val="auto"/>
          <w:sz w:val="22"/>
          <w:szCs w:val="22"/>
        </w:rPr>
        <w:t xml:space="preserve">l No. 320 of 2010 and </w:t>
      </w:r>
      <w:r w:rsidRPr="004E72E3">
        <w:rPr>
          <w:rStyle w:val="Bodytext135ptBold"/>
          <w:rFonts w:ascii="Arial" w:hAnsi="Arial" w:cs="Arial"/>
          <w:color w:val="auto"/>
          <w:sz w:val="22"/>
          <w:szCs w:val="22"/>
        </w:rPr>
        <w:t xml:space="preserve">Harrison Mwakibinga v. Republic, </w:t>
      </w:r>
      <w:r w:rsidRPr="004E72E3">
        <w:rPr>
          <w:rFonts w:ascii="Arial" w:hAnsi="Arial" w:cs="Arial"/>
          <w:color w:val="auto"/>
          <w:sz w:val="22"/>
          <w:szCs w:val="22"/>
        </w:rPr>
        <w:t xml:space="preserve">Criminal Appeal No. 196 of 2009 (both unreported). In </w:t>
      </w:r>
      <w:r w:rsidRPr="004E72E3">
        <w:rPr>
          <w:rStyle w:val="Bodytext135ptBold"/>
          <w:rFonts w:ascii="Arial" w:hAnsi="Arial" w:cs="Arial"/>
          <w:color w:val="auto"/>
          <w:sz w:val="22"/>
          <w:szCs w:val="22"/>
        </w:rPr>
        <w:t xml:space="preserve">Haji Omary </w:t>
      </w:r>
      <w:r w:rsidRPr="004E72E3">
        <w:rPr>
          <w:rFonts w:ascii="Arial" w:hAnsi="Arial" w:cs="Arial"/>
          <w:color w:val="auto"/>
          <w:sz w:val="22"/>
          <w:szCs w:val="22"/>
        </w:rPr>
        <w:t xml:space="preserve">case supra, like in this case, the child victim did not testify for reason of tender age. Again, like in this case there was no finding </w:t>
      </w:r>
      <w:r w:rsidRPr="004E72E3">
        <w:rPr>
          <w:rFonts w:ascii="Arial" w:hAnsi="Arial" w:cs="Arial"/>
          <w:color w:val="auto"/>
          <w:sz w:val="22"/>
          <w:szCs w:val="22"/>
        </w:rPr>
        <w:t>made as to the incompetency of the child victim to testify. The Court there held:</w:t>
      </w:r>
    </w:p>
    <w:p w:rsidR="008002C0" w:rsidRPr="004E72E3" w:rsidRDefault="00690EDC">
      <w:pPr>
        <w:pStyle w:val="Bodytext50"/>
        <w:shd w:val="clear" w:color="auto" w:fill="auto"/>
        <w:spacing w:before="0"/>
        <w:ind w:left="1520" w:right="80"/>
        <w:rPr>
          <w:rFonts w:ascii="Arial" w:hAnsi="Arial" w:cs="Arial"/>
          <w:color w:val="auto"/>
          <w:spacing w:val="0"/>
          <w:sz w:val="22"/>
          <w:szCs w:val="22"/>
        </w:rPr>
      </w:pPr>
      <w:r w:rsidRPr="004E72E3">
        <w:rPr>
          <w:rFonts w:ascii="Arial" w:hAnsi="Arial" w:cs="Arial"/>
          <w:color w:val="auto"/>
          <w:spacing w:val="0"/>
          <w:sz w:val="22"/>
          <w:szCs w:val="22"/>
        </w:rPr>
        <w:t xml:space="preserve">"The law recognizes that there are instances where charges may be proved without victims of crimes testifying in court. Take murder for example where the victims are </w:t>
      </w:r>
      <w:r w:rsidRPr="004E72E3">
        <w:rPr>
          <w:rFonts w:ascii="Arial" w:hAnsi="Arial" w:cs="Arial"/>
          <w:color w:val="auto"/>
          <w:spacing w:val="0"/>
          <w:sz w:val="22"/>
          <w:szCs w:val="22"/>
        </w:rPr>
        <w:t>deceased. Senility, tender age or decease of the mind may prevent a victim from testifying in court (See section 127 of the Evidence Act) but this does not mean that a charge cannot be proved in the absence of the victims' testimony. In this case the victi</w:t>
      </w:r>
      <w:r w:rsidRPr="004E72E3">
        <w:rPr>
          <w:rFonts w:ascii="Arial" w:hAnsi="Arial" w:cs="Arial"/>
          <w:color w:val="auto"/>
          <w:spacing w:val="0"/>
          <w:sz w:val="22"/>
          <w:szCs w:val="22"/>
        </w:rPr>
        <w:t>m was a four year old child. He was indeed a child offender age. Though we agree that ideally the reason for the non-taking of the testimony of the victim should have been entered on record however such failure neither weakened the case for the prosecution</w:t>
      </w:r>
      <w:r w:rsidRPr="004E72E3">
        <w:rPr>
          <w:rFonts w:ascii="Arial" w:hAnsi="Arial" w:cs="Arial"/>
          <w:color w:val="auto"/>
          <w:spacing w:val="0"/>
          <w:sz w:val="22"/>
          <w:szCs w:val="22"/>
        </w:rPr>
        <w:t xml:space="preserve"> nor resulted in a failure of justice."</w:t>
      </w:r>
    </w:p>
    <w:p w:rsidR="008002C0" w:rsidRPr="004E72E3" w:rsidRDefault="00690EDC">
      <w:pPr>
        <w:pStyle w:val="BodyText1"/>
        <w:shd w:val="clear" w:color="auto" w:fill="auto"/>
        <w:spacing w:before="0" w:after="0"/>
        <w:ind w:left="20" w:firstLine="700"/>
        <w:rPr>
          <w:rFonts w:ascii="Arial" w:hAnsi="Arial" w:cs="Arial"/>
          <w:color w:val="auto"/>
          <w:sz w:val="22"/>
          <w:szCs w:val="22"/>
        </w:rPr>
      </w:pPr>
      <w:r w:rsidRPr="004E72E3">
        <w:rPr>
          <w:rFonts w:ascii="Arial" w:hAnsi="Arial" w:cs="Arial"/>
          <w:color w:val="auto"/>
          <w:sz w:val="22"/>
          <w:szCs w:val="22"/>
        </w:rPr>
        <w:t>In the light of the above, we find the appellant's complaint that the case against him was not proved because the victim did not testify to have no foundation. We accordingly dismiss it.</w:t>
      </w:r>
    </w:p>
    <w:p w:rsidR="008002C0" w:rsidRPr="004E72E3" w:rsidRDefault="00690EDC">
      <w:pPr>
        <w:pStyle w:val="BodyText1"/>
        <w:shd w:val="clear" w:color="auto" w:fill="auto"/>
        <w:spacing w:before="0" w:after="0"/>
        <w:ind w:left="20" w:firstLine="700"/>
        <w:rPr>
          <w:rFonts w:ascii="Arial" w:hAnsi="Arial" w:cs="Arial"/>
          <w:color w:val="auto"/>
          <w:sz w:val="22"/>
          <w:szCs w:val="22"/>
        </w:rPr>
        <w:sectPr w:rsidR="008002C0" w:rsidRPr="004E72E3">
          <w:type w:val="continuous"/>
          <w:pgSz w:w="11909" w:h="16834"/>
          <w:pgMar w:top="1788" w:right="1186" w:bottom="1788" w:left="1240" w:header="0" w:footer="3" w:gutter="0"/>
          <w:cols w:space="720"/>
          <w:noEndnote/>
          <w:docGrid w:linePitch="360"/>
        </w:sectPr>
      </w:pPr>
      <w:r w:rsidRPr="004E72E3">
        <w:rPr>
          <w:rFonts w:ascii="Arial" w:hAnsi="Arial" w:cs="Arial"/>
          <w:color w:val="auto"/>
          <w:sz w:val="22"/>
          <w:szCs w:val="22"/>
        </w:rPr>
        <w:t xml:space="preserve">As for </w:t>
      </w:r>
      <w:r w:rsidRPr="004E72E3">
        <w:rPr>
          <w:rFonts w:ascii="Arial" w:hAnsi="Arial" w:cs="Arial"/>
          <w:color w:val="auto"/>
          <w:sz w:val="22"/>
          <w:szCs w:val="22"/>
        </w:rPr>
        <w:t>the ground that conviction was wrongly entered because no police officer was called to testify, our settled view is that in the circumstances of this case the fact that no police officer testified in court did not water down the case for the prosecution. A</w:t>
      </w:r>
      <w:r w:rsidRPr="004E72E3">
        <w:rPr>
          <w:rFonts w:ascii="Arial" w:hAnsi="Arial" w:cs="Arial"/>
          <w:color w:val="auto"/>
          <w:sz w:val="22"/>
          <w:szCs w:val="22"/>
        </w:rPr>
        <w:t xml:space="preserve">fter all, evidence on record including that of the appellant himself, which appears at page 24 of the record, shows that </w:t>
      </w:r>
      <w:r w:rsidRPr="004E72E3">
        <w:rPr>
          <w:rFonts w:ascii="Arial" w:hAnsi="Arial" w:cs="Arial"/>
          <w:color w:val="auto"/>
          <w:sz w:val="22"/>
          <w:szCs w:val="22"/>
        </w:rPr>
        <w:lastRenderedPageBreak/>
        <w:t>he was taken to the police station. The appellant is</w:t>
      </w:r>
    </w:p>
    <w:p w:rsidR="008002C0" w:rsidRPr="004E72E3" w:rsidRDefault="00690EDC">
      <w:pPr>
        <w:pStyle w:val="BodyText1"/>
        <w:shd w:val="clear" w:color="auto" w:fill="auto"/>
        <w:spacing w:before="0" w:after="66" w:line="684" w:lineRule="exact"/>
        <w:ind w:left="280" w:firstLine="720"/>
        <w:rPr>
          <w:rFonts w:ascii="Arial" w:hAnsi="Arial" w:cs="Arial"/>
          <w:color w:val="auto"/>
          <w:sz w:val="22"/>
          <w:szCs w:val="22"/>
        </w:rPr>
      </w:pPr>
      <w:r w:rsidRPr="004E72E3">
        <w:rPr>
          <w:rFonts w:ascii="Arial" w:hAnsi="Arial" w:cs="Arial"/>
          <w:color w:val="auto"/>
          <w:sz w:val="22"/>
          <w:szCs w:val="22"/>
        </w:rPr>
        <w:t xml:space="preserve">All in all, there was overwhelming evidence against the appellant which was </w:t>
      </w:r>
      <w:r w:rsidRPr="004E72E3">
        <w:rPr>
          <w:rFonts w:ascii="Arial" w:hAnsi="Arial" w:cs="Arial"/>
          <w:color w:val="auto"/>
          <w:sz w:val="22"/>
          <w:szCs w:val="22"/>
        </w:rPr>
        <w:t>adduced at the trial and as a second appellate court we have seen no justification for interference with the two lower courts' findings as to facts.</w:t>
      </w:r>
    </w:p>
    <w:p w:rsidR="008002C0" w:rsidRPr="004E72E3" w:rsidRDefault="00690EDC">
      <w:pPr>
        <w:pStyle w:val="BodyText1"/>
        <w:shd w:val="clear" w:color="auto" w:fill="auto"/>
        <w:spacing w:before="0" w:after="378" w:line="677" w:lineRule="exact"/>
        <w:ind w:left="280" w:firstLine="720"/>
        <w:rPr>
          <w:rFonts w:ascii="Arial" w:hAnsi="Arial" w:cs="Arial"/>
          <w:color w:val="auto"/>
          <w:sz w:val="22"/>
          <w:szCs w:val="22"/>
        </w:rPr>
      </w:pPr>
      <w:r w:rsidRPr="004E72E3">
        <w:rPr>
          <w:rFonts w:ascii="Arial" w:hAnsi="Arial" w:cs="Arial"/>
          <w:color w:val="auto"/>
          <w:sz w:val="22"/>
          <w:szCs w:val="22"/>
        </w:rPr>
        <w:t>In the light of the above considerations we have come to the settled view that the appeal by Issa Ramadhani</w:t>
      </w:r>
      <w:r w:rsidRPr="004E72E3">
        <w:rPr>
          <w:rFonts w:ascii="Arial" w:hAnsi="Arial" w:cs="Arial"/>
          <w:color w:val="auto"/>
          <w:sz w:val="22"/>
          <w:szCs w:val="22"/>
        </w:rPr>
        <w:t xml:space="preserve"> is without substance and for this reason we must, as hereby do, dismiss it.</w:t>
      </w:r>
    </w:p>
    <w:p w:rsidR="008002C0" w:rsidRPr="004E72E3" w:rsidRDefault="00690EDC">
      <w:pPr>
        <w:pStyle w:val="BodyText1"/>
        <w:shd w:val="clear" w:color="auto" w:fill="auto"/>
        <w:spacing w:before="0" w:after="463" w:line="280" w:lineRule="exact"/>
        <w:ind w:left="280" w:firstLine="720"/>
        <w:rPr>
          <w:rFonts w:ascii="Arial" w:hAnsi="Arial" w:cs="Arial"/>
          <w:color w:val="auto"/>
          <w:sz w:val="22"/>
          <w:szCs w:val="22"/>
        </w:rPr>
      </w:pPr>
      <w:r w:rsidRPr="004E72E3">
        <w:rPr>
          <w:rFonts w:ascii="Arial" w:hAnsi="Arial" w:cs="Arial"/>
          <w:color w:val="auto"/>
          <w:sz w:val="22"/>
          <w:szCs w:val="22"/>
        </w:rPr>
        <w:t>It is ordered accordingly.</w:t>
      </w:r>
    </w:p>
    <w:p w:rsidR="008002C0" w:rsidRPr="004E72E3" w:rsidRDefault="00690EDC">
      <w:pPr>
        <w:pStyle w:val="BodyText1"/>
        <w:shd w:val="clear" w:color="auto" w:fill="auto"/>
        <w:spacing w:before="0" w:after="478" w:line="280" w:lineRule="exact"/>
        <w:ind w:left="280" w:firstLine="720"/>
        <w:rPr>
          <w:rFonts w:ascii="Arial" w:hAnsi="Arial" w:cs="Arial"/>
          <w:color w:val="auto"/>
          <w:sz w:val="22"/>
          <w:szCs w:val="22"/>
        </w:rPr>
      </w:pPr>
      <w:r w:rsidRPr="004E72E3">
        <w:rPr>
          <w:rStyle w:val="Bodytext135ptBold"/>
          <w:rFonts w:ascii="Arial" w:hAnsi="Arial" w:cs="Arial"/>
          <w:color w:val="auto"/>
          <w:sz w:val="22"/>
          <w:szCs w:val="22"/>
        </w:rPr>
        <w:t xml:space="preserve">DATED </w:t>
      </w:r>
      <w:r w:rsidRPr="004E72E3">
        <w:rPr>
          <w:rFonts w:ascii="Arial" w:hAnsi="Arial" w:cs="Arial"/>
          <w:color w:val="auto"/>
          <w:sz w:val="22"/>
          <w:szCs w:val="22"/>
        </w:rPr>
        <w:t xml:space="preserve">at </w:t>
      </w:r>
      <w:r w:rsidRPr="004E72E3">
        <w:rPr>
          <w:rStyle w:val="Bodytext135ptBold"/>
          <w:rFonts w:ascii="Arial" w:hAnsi="Arial" w:cs="Arial"/>
          <w:color w:val="auto"/>
          <w:sz w:val="22"/>
          <w:szCs w:val="22"/>
        </w:rPr>
        <w:t xml:space="preserve">DODOMA </w:t>
      </w:r>
      <w:r w:rsidRPr="004E72E3">
        <w:rPr>
          <w:rFonts w:ascii="Arial" w:hAnsi="Arial" w:cs="Arial"/>
          <w:color w:val="auto"/>
          <w:sz w:val="22"/>
          <w:szCs w:val="22"/>
        </w:rPr>
        <w:t>this 13</w:t>
      </w:r>
      <w:r w:rsidRPr="004E72E3">
        <w:rPr>
          <w:rFonts w:ascii="Arial" w:hAnsi="Arial" w:cs="Arial"/>
          <w:color w:val="auto"/>
          <w:sz w:val="22"/>
          <w:szCs w:val="22"/>
          <w:vertAlign w:val="superscript"/>
        </w:rPr>
        <w:t>th</w:t>
      </w:r>
      <w:r w:rsidRPr="004E72E3">
        <w:rPr>
          <w:rFonts w:ascii="Arial" w:hAnsi="Arial" w:cs="Arial"/>
          <w:color w:val="auto"/>
          <w:sz w:val="22"/>
          <w:szCs w:val="22"/>
        </w:rPr>
        <w:t xml:space="preserve"> Day of April 2016.</w:t>
      </w:r>
    </w:p>
    <w:p w:rsidR="004E72E3" w:rsidRDefault="004E72E3" w:rsidP="004E72E3">
      <w:pPr>
        <w:pStyle w:val="Bodytext40"/>
        <w:shd w:val="clear" w:color="auto" w:fill="auto"/>
        <w:spacing w:after="0" w:line="240" w:lineRule="auto"/>
        <w:ind w:right="1020"/>
        <w:jc w:val="center"/>
        <w:rPr>
          <w:rStyle w:val="Bodytext414ptNotBold"/>
          <w:rFonts w:ascii="Arial" w:hAnsi="Arial" w:cs="Arial"/>
          <w:color w:val="auto"/>
          <w:sz w:val="22"/>
          <w:szCs w:val="22"/>
        </w:rPr>
      </w:pPr>
      <w:r>
        <w:rPr>
          <w:rStyle w:val="Bodytext414ptNotBold"/>
          <w:rFonts w:ascii="Arial" w:hAnsi="Arial" w:cs="Arial"/>
          <w:color w:val="auto"/>
          <w:sz w:val="22"/>
          <w:szCs w:val="22"/>
        </w:rPr>
        <w:t>E. A. KILEO</w:t>
      </w:r>
    </w:p>
    <w:p w:rsidR="008002C0" w:rsidRPr="004E72E3" w:rsidRDefault="00690EDC" w:rsidP="004E72E3">
      <w:pPr>
        <w:pStyle w:val="Bodytext40"/>
        <w:shd w:val="clear" w:color="auto" w:fill="auto"/>
        <w:spacing w:after="0" w:line="240" w:lineRule="auto"/>
        <w:ind w:right="1020"/>
        <w:jc w:val="center"/>
        <w:rPr>
          <w:rFonts w:ascii="Arial" w:hAnsi="Arial" w:cs="Arial"/>
          <w:color w:val="auto"/>
          <w:sz w:val="22"/>
          <w:szCs w:val="22"/>
        </w:rPr>
      </w:pPr>
      <w:r w:rsidRPr="004E72E3">
        <w:rPr>
          <w:rStyle w:val="Bodytext41"/>
          <w:rFonts w:ascii="Arial" w:hAnsi="Arial" w:cs="Arial"/>
          <w:b/>
          <w:bCs/>
          <w:color w:val="auto"/>
          <w:sz w:val="22"/>
          <w:szCs w:val="22"/>
        </w:rPr>
        <w:t>JUSTICE OF APPEAL</w:t>
      </w:r>
    </w:p>
    <w:p w:rsidR="004E72E3" w:rsidRDefault="004E72E3" w:rsidP="004E72E3">
      <w:pPr>
        <w:pStyle w:val="Bodytext40"/>
        <w:shd w:val="clear" w:color="auto" w:fill="auto"/>
        <w:spacing w:after="0" w:line="240" w:lineRule="auto"/>
        <w:ind w:right="1020"/>
        <w:jc w:val="center"/>
        <w:rPr>
          <w:rStyle w:val="Bodytext414ptNotBold"/>
          <w:rFonts w:ascii="Arial" w:hAnsi="Arial" w:cs="Arial"/>
          <w:color w:val="auto"/>
          <w:sz w:val="22"/>
          <w:szCs w:val="22"/>
        </w:rPr>
      </w:pPr>
      <w:r>
        <w:rPr>
          <w:rStyle w:val="Bodytext414ptNotBold"/>
          <w:rFonts w:ascii="Arial" w:hAnsi="Arial" w:cs="Arial"/>
          <w:color w:val="auto"/>
          <w:sz w:val="22"/>
          <w:szCs w:val="22"/>
        </w:rPr>
        <w:t>K. K. ORIYO</w:t>
      </w:r>
    </w:p>
    <w:p w:rsidR="008002C0" w:rsidRDefault="00690EDC" w:rsidP="004E72E3">
      <w:pPr>
        <w:pStyle w:val="Bodytext40"/>
        <w:shd w:val="clear" w:color="auto" w:fill="auto"/>
        <w:spacing w:after="0" w:line="240" w:lineRule="auto"/>
        <w:ind w:right="1020"/>
        <w:jc w:val="center"/>
        <w:rPr>
          <w:rStyle w:val="Bodytext41"/>
          <w:rFonts w:ascii="Arial" w:hAnsi="Arial" w:cs="Arial"/>
          <w:b/>
          <w:bCs/>
          <w:color w:val="auto"/>
          <w:sz w:val="22"/>
          <w:szCs w:val="22"/>
        </w:rPr>
      </w:pPr>
      <w:r w:rsidRPr="004E72E3">
        <w:rPr>
          <w:rStyle w:val="Bodytext41"/>
          <w:rFonts w:ascii="Arial" w:hAnsi="Arial" w:cs="Arial"/>
          <w:b/>
          <w:bCs/>
          <w:color w:val="auto"/>
          <w:sz w:val="22"/>
          <w:szCs w:val="22"/>
        </w:rPr>
        <w:t>JUSTICE OF APPEAL</w:t>
      </w:r>
    </w:p>
    <w:p w:rsidR="004E72E3" w:rsidRDefault="004E72E3" w:rsidP="004E72E3">
      <w:pPr>
        <w:pStyle w:val="Bodytext40"/>
        <w:shd w:val="clear" w:color="auto" w:fill="auto"/>
        <w:spacing w:after="0" w:line="240" w:lineRule="auto"/>
        <w:ind w:right="1020"/>
        <w:jc w:val="center"/>
        <w:rPr>
          <w:rStyle w:val="Bodytext41"/>
          <w:rFonts w:ascii="Arial" w:hAnsi="Arial" w:cs="Arial"/>
          <w:bCs/>
          <w:color w:val="auto"/>
          <w:sz w:val="22"/>
          <w:szCs w:val="22"/>
          <w:u w:val="none"/>
        </w:rPr>
      </w:pPr>
      <w:r>
        <w:rPr>
          <w:rStyle w:val="Bodytext41"/>
          <w:rFonts w:ascii="Arial" w:hAnsi="Arial" w:cs="Arial"/>
          <w:bCs/>
          <w:color w:val="auto"/>
          <w:sz w:val="22"/>
          <w:szCs w:val="22"/>
          <w:u w:val="none"/>
        </w:rPr>
        <w:t>I. H. JUMA</w:t>
      </w:r>
    </w:p>
    <w:p w:rsidR="004E72E3" w:rsidRPr="004E72E3" w:rsidRDefault="004E72E3" w:rsidP="004E72E3">
      <w:pPr>
        <w:pStyle w:val="Bodytext40"/>
        <w:shd w:val="clear" w:color="auto" w:fill="auto"/>
        <w:spacing w:after="0" w:line="240" w:lineRule="auto"/>
        <w:ind w:right="1020"/>
        <w:jc w:val="center"/>
        <w:rPr>
          <w:rStyle w:val="Bodytext41"/>
          <w:rFonts w:ascii="Arial" w:hAnsi="Arial" w:cs="Arial"/>
          <w:b/>
          <w:bCs/>
          <w:color w:val="auto"/>
          <w:sz w:val="22"/>
          <w:szCs w:val="22"/>
        </w:rPr>
      </w:pPr>
      <w:r w:rsidRPr="004E72E3">
        <w:rPr>
          <w:rStyle w:val="Bodytext41"/>
          <w:rFonts w:ascii="Arial" w:hAnsi="Arial" w:cs="Arial"/>
          <w:b/>
          <w:bCs/>
          <w:color w:val="auto"/>
          <w:sz w:val="22"/>
          <w:szCs w:val="22"/>
        </w:rPr>
        <w:t>JUSTICE OF APPEAL</w:t>
      </w:r>
      <w:bookmarkStart w:id="0" w:name="_GoBack"/>
      <w:bookmarkEnd w:id="0"/>
    </w:p>
    <w:p w:rsidR="004E72E3" w:rsidRDefault="004E72E3" w:rsidP="004E72E3">
      <w:pPr>
        <w:pStyle w:val="Bodytext40"/>
        <w:shd w:val="clear" w:color="auto" w:fill="auto"/>
        <w:spacing w:after="0" w:line="240" w:lineRule="auto"/>
        <w:ind w:right="1020"/>
        <w:jc w:val="center"/>
        <w:rPr>
          <w:rStyle w:val="Bodytext41"/>
          <w:rFonts w:ascii="Arial" w:hAnsi="Arial" w:cs="Arial"/>
          <w:bCs/>
          <w:color w:val="auto"/>
          <w:sz w:val="22"/>
          <w:szCs w:val="22"/>
          <w:u w:val="none"/>
        </w:rPr>
      </w:pPr>
      <w:r>
        <w:rPr>
          <w:rStyle w:val="Bodytext41"/>
          <w:rFonts w:ascii="Arial" w:hAnsi="Arial" w:cs="Arial"/>
          <w:bCs/>
          <w:color w:val="auto"/>
          <w:sz w:val="22"/>
          <w:szCs w:val="22"/>
          <w:u w:val="none"/>
        </w:rPr>
        <w:t>I certify that this is a true copy of the original.</w:t>
      </w:r>
    </w:p>
    <w:p w:rsidR="004E72E3" w:rsidRDefault="004E72E3" w:rsidP="004E72E3">
      <w:pPr>
        <w:pStyle w:val="Bodytext40"/>
        <w:shd w:val="clear" w:color="auto" w:fill="auto"/>
        <w:spacing w:after="0" w:line="240" w:lineRule="auto"/>
        <w:ind w:right="1020"/>
        <w:jc w:val="center"/>
        <w:rPr>
          <w:rStyle w:val="Bodytext41"/>
          <w:rFonts w:ascii="Arial" w:hAnsi="Arial" w:cs="Arial"/>
          <w:bCs/>
          <w:color w:val="auto"/>
          <w:sz w:val="22"/>
          <w:szCs w:val="22"/>
          <w:u w:val="none"/>
        </w:rPr>
      </w:pPr>
      <w:r>
        <w:rPr>
          <w:rStyle w:val="Bodytext41"/>
          <w:rFonts w:ascii="Arial" w:hAnsi="Arial" w:cs="Arial"/>
          <w:bCs/>
          <w:color w:val="auto"/>
          <w:sz w:val="22"/>
          <w:szCs w:val="22"/>
          <w:u w:val="none"/>
        </w:rPr>
        <w:t>E.F. FUSSI</w:t>
      </w:r>
    </w:p>
    <w:p w:rsidR="004E72E3" w:rsidRPr="004E72E3" w:rsidRDefault="004E72E3" w:rsidP="004E72E3">
      <w:pPr>
        <w:pStyle w:val="Bodytext40"/>
        <w:shd w:val="clear" w:color="auto" w:fill="auto"/>
        <w:spacing w:after="0" w:line="240" w:lineRule="auto"/>
        <w:ind w:right="1020"/>
        <w:jc w:val="center"/>
        <w:rPr>
          <w:rStyle w:val="Bodytext41"/>
          <w:rFonts w:ascii="Arial" w:hAnsi="Arial" w:cs="Arial"/>
          <w:b/>
          <w:bCs/>
          <w:color w:val="auto"/>
          <w:sz w:val="22"/>
          <w:szCs w:val="22"/>
        </w:rPr>
      </w:pPr>
      <w:r w:rsidRPr="004E72E3">
        <w:rPr>
          <w:rStyle w:val="Bodytext41"/>
          <w:rFonts w:ascii="Arial" w:hAnsi="Arial" w:cs="Arial"/>
          <w:b/>
          <w:bCs/>
          <w:color w:val="auto"/>
          <w:sz w:val="22"/>
          <w:szCs w:val="22"/>
        </w:rPr>
        <w:t>DEPUTY REGISTRAR</w:t>
      </w:r>
    </w:p>
    <w:p w:rsidR="004E72E3" w:rsidRPr="004E72E3" w:rsidRDefault="004E72E3" w:rsidP="004E72E3">
      <w:pPr>
        <w:pStyle w:val="Bodytext40"/>
        <w:shd w:val="clear" w:color="auto" w:fill="auto"/>
        <w:spacing w:after="0" w:line="240" w:lineRule="auto"/>
        <w:ind w:right="1020"/>
        <w:jc w:val="center"/>
        <w:rPr>
          <w:rFonts w:ascii="Arial" w:hAnsi="Arial" w:cs="Arial"/>
          <w:b w:val="0"/>
          <w:color w:val="auto"/>
          <w:sz w:val="22"/>
          <w:szCs w:val="22"/>
          <w:u w:val="single"/>
        </w:rPr>
      </w:pPr>
      <w:r w:rsidRPr="004E72E3">
        <w:rPr>
          <w:rStyle w:val="Bodytext41"/>
          <w:rFonts w:ascii="Arial" w:hAnsi="Arial" w:cs="Arial"/>
          <w:b/>
          <w:bCs/>
          <w:color w:val="auto"/>
          <w:sz w:val="22"/>
          <w:szCs w:val="22"/>
        </w:rPr>
        <w:t>COURT OF APPEAL</w:t>
      </w:r>
    </w:p>
    <w:sectPr w:rsidR="004E72E3" w:rsidRPr="004E72E3">
      <w:type w:val="continuous"/>
      <w:pgSz w:w="11909" w:h="16834"/>
      <w:pgMar w:top="1683" w:right="1132" w:bottom="1651" w:left="110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EDC" w:rsidRDefault="00690EDC">
      <w:r>
        <w:separator/>
      </w:r>
    </w:p>
  </w:endnote>
  <w:endnote w:type="continuationSeparator" w:id="0">
    <w:p w:rsidR="00690EDC" w:rsidRDefault="0069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EDC" w:rsidRDefault="00690EDC"/>
  </w:footnote>
  <w:footnote w:type="continuationSeparator" w:id="0">
    <w:p w:rsidR="00690EDC" w:rsidRDefault="00690E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697C"/>
    <w:multiLevelType w:val="multilevel"/>
    <w:tmpl w:val="2B9EB8B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8002C0"/>
    <w:rsid w:val="004E72E3"/>
    <w:rsid w:val="00690EDC"/>
    <w:rsid w:val="008002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35020-FBCD-4A3C-A0C7-1C034B4C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Z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ahoma" w:eastAsia="Tahoma" w:hAnsi="Tahoma" w:cs="Tahoma"/>
      <w:b/>
      <w:bCs/>
      <w:i w:val="0"/>
      <w:iCs w:val="0"/>
      <w:smallCaps w:val="0"/>
      <w:strike w:val="0"/>
      <w:sz w:val="23"/>
      <w:szCs w:val="23"/>
      <w:u w:val="none"/>
    </w:rPr>
  </w:style>
  <w:style w:type="character" w:customStyle="1" w:styleId="Bodytext21">
    <w:name w:val="Body text (2)"/>
    <w:basedOn w:val="Bodytext2"/>
    <w:rPr>
      <w:rFonts w:ascii="Tahoma" w:eastAsia="Tahoma" w:hAnsi="Tahoma" w:cs="Tahoma"/>
      <w:b/>
      <w:bCs/>
      <w:i w:val="0"/>
      <w:iCs w:val="0"/>
      <w:smallCaps w:val="0"/>
      <w:strike w:val="0"/>
      <w:color w:val="000000"/>
      <w:spacing w:val="0"/>
      <w:w w:val="100"/>
      <w:position w:val="0"/>
      <w:sz w:val="23"/>
      <w:szCs w:val="23"/>
      <w:u w:val="single"/>
      <w:lang w:val="en-US"/>
    </w:rPr>
  </w:style>
  <w:style w:type="character" w:customStyle="1" w:styleId="Bodytext3">
    <w:name w:val="Body text (3)_"/>
    <w:basedOn w:val="DefaultParagraphFont"/>
    <w:link w:val="Bodytext30"/>
    <w:rPr>
      <w:rFonts w:ascii="Tahoma" w:eastAsia="Tahoma" w:hAnsi="Tahoma" w:cs="Tahoma"/>
      <w:b w:val="0"/>
      <w:bCs w:val="0"/>
      <w:i w:val="0"/>
      <w:iCs w:val="0"/>
      <w:smallCaps w:val="0"/>
      <w:strike w:val="0"/>
      <w:sz w:val="19"/>
      <w:szCs w:val="19"/>
      <w:u w:val="none"/>
    </w:rPr>
  </w:style>
  <w:style w:type="character" w:customStyle="1" w:styleId="Bodytext4">
    <w:name w:val="Body text (4)_"/>
    <w:basedOn w:val="DefaultParagraphFont"/>
    <w:link w:val="Bodytext40"/>
    <w:rPr>
      <w:rFonts w:ascii="Tahoma" w:eastAsia="Tahoma" w:hAnsi="Tahoma" w:cs="Tahoma"/>
      <w:b/>
      <w:bCs/>
      <w:i w:val="0"/>
      <w:iCs w:val="0"/>
      <w:smallCaps w:val="0"/>
      <w:strike w:val="0"/>
      <w:sz w:val="27"/>
      <w:szCs w:val="27"/>
      <w:u w:val="none"/>
    </w:rPr>
  </w:style>
  <w:style w:type="character" w:customStyle="1" w:styleId="Bodytext41">
    <w:name w:val="Body text (4)"/>
    <w:basedOn w:val="Bodytext4"/>
    <w:rPr>
      <w:rFonts w:ascii="Tahoma" w:eastAsia="Tahoma" w:hAnsi="Tahoma" w:cs="Tahoma"/>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1"/>
    <w:rPr>
      <w:rFonts w:ascii="Tahoma" w:eastAsia="Tahoma" w:hAnsi="Tahoma" w:cs="Tahoma"/>
      <w:b w:val="0"/>
      <w:bCs w:val="0"/>
      <w:i w:val="0"/>
      <w:iCs w:val="0"/>
      <w:smallCaps w:val="0"/>
      <w:strike w:val="0"/>
      <w:sz w:val="28"/>
      <w:szCs w:val="28"/>
      <w:u w:val="none"/>
    </w:rPr>
  </w:style>
  <w:style w:type="character" w:customStyle="1" w:styleId="Bodytext135ptBold">
    <w:name w:val="Body text + 13;5 pt;Bold"/>
    <w:basedOn w:val="Bodytext"/>
    <w:rPr>
      <w:rFonts w:ascii="Tahoma" w:eastAsia="Tahoma" w:hAnsi="Tahoma" w:cs="Tahoma"/>
      <w:b/>
      <w:bCs/>
      <w:i w:val="0"/>
      <w:iCs w:val="0"/>
      <w:smallCaps w:val="0"/>
      <w:strike w:val="0"/>
      <w:color w:val="000000"/>
      <w:spacing w:val="0"/>
      <w:w w:val="100"/>
      <w:position w:val="0"/>
      <w:sz w:val="27"/>
      <w:szCs w:val="27"/>
      <w:u w:val="none"/>
      <w:lang w:val="en-US"/>
    </w:rPr>
  </w:style>
  <w:style w:type="character" w:customStyle="1" w:styleId="BodytextItalicSpacing-1pt">
    <w:name w:val="Body text + Italic;Spacing -1 pt"/>
    <w:basedOn w:val="Bodytext"/>
    <w:rPr>
      <w:rFonts w:ascii="Tahoma" w:eastAsia="Tahoma" w:hAnsi="Tahoma" w:cs="Tahoma"/>
      <w:b w:val="0"/>
      <w:bCs w:val="0"/>
      <w:i/>
      <w:iCs/>
      <w:smallCaps w:val="0"/>
      <w:strike w:val="0"/>
      <w:color w:val="000000"/>
      <w:spacing w:val="-30"/>
      <w:w w:val="100"/>
      <w:position w:val="0"/>
      <w:sz w:val="28"/>
      <w:szCs w:val="28"/>
      <w:u w:val="none"/>
      <w:lang w:val="en-US"/>
    </w:rPr>
  </w:style>
  <w:style w:type="character" w:customStyle="1" w:styleId="Bodytext5">
    <w:name w:val="Body text (5)_"/>
    <w:basedOn w:val="DefaultParagraphFont"/>
    <w:link w:val="Bodytext50"/>
    <w:rPr>
      <w:rFonts w:ascii="Tahoma" w:eastAsia="Tahoma" w:hAnsi="Tahoma" w:cs="Tahoma"/>
      <w:b w:val="0"/>
      <w:bCs w:val="0"/>
      <w:i/>
      <w:iCs/>
      <w:smallCaps w:val="0"/>
      <w:strike w:val="0"/>
      <w:spacing w:val="-30"/>
      <w:sz w:val="28"/>
      <w:szCs w:val="28"/>
      <w:u w:val="none"/>
    </w:rPr>
  </w:style>
  <w:style w:type="character" w:customStyle="1" w:styleId="Bodytext414ptNotBold">
    <w:name w:val="Body text (4) + 14 pt;Not Bold"/>
    <w:basedOn w:val="Bodytext4"/>
    <w:rPr>
      <w:rFonts w:ascii="Tahoma" w:eastAsia="Tahoma" w:hAnsi="Tahoma" w:cs="Tahoma"/>
      <w:b/>
      <w:bCs/>
      <w:i w:val="0"/>
      <w:iCs w:val="0"/>
      <w:smallCaps w:val="0"/>
      <w:strike w:val="0"/>
      <w:color w:val="000000"/>
      <w:spacing w:val="0"/>
      <w:w w:val="100"/>
      <w:position w:val="0"/>
      <w:sz w:val="28"/>
      <w:szCs w:val="28"/>
      <w:u w:val="none"/>
      <w:lang w:val="en-US"/>
    </w:rPr>
  </w:style>
  <w:style w:type="paragraph" w:customStyle="1" w:styleId="Bodytext20">
    <w:name w:val="Body text (2)"/>
    <w:basedOn w:val="Normal"/>
    <w:link w:val="Bodytext2"/>
    <w:pPr>
      <w:shd w:val="clear" w:color="auto" w:fill="FFFFFF"/>
      <w:spacing w:after="240" w:line="292" w:lineRule="exact"/>
      <w:jc w:val="center"/>
    </w:pPr>
    <w:rPr>
      <w:rFonts w:ascii="Tahoma" w:eastAsia="Tahoma" w:hAnsi="Tahoma" w:cs="Tahoma"/>
      <w:b/>
      <w:bCs/>
      <w:sz w:val="23"/>
      <w:szCs w:val="23"/>
    </w:rPr>
  </w:style>
  <w:style w:type="paragraph" w:customStyle="1" w:styleId="Bodytext30">
    <w:name w:val="Body text (3)"/>
    <w:basedOn w:val="Normal"/>
    <w:link w:val="Bodytext3"/>
    <w:pPr>
      <w:shd w:val="clear" w:color="auto" w:fill="FFFFFF"/>
      <w:spacing w:before="240" w:after="360" w:line="0" w:lineRule="atLeast"/>
      <w:jc w:val="both"/>
    </w:pPr>
    <w:rPr>
      <w:rFonts w:ascii="Tahoma" w:eastAsia="Tahoma" w:hAnsi="Tahoma" w:cs="Tahoma"/>
      <w:sz w:val="19"/>
      <w:szCs w:val="19"/>
    </w:rPr>
  </w:style>
  <w:style w:type="paragraph" w:customStyle="1" w:styleId="Bodytext40">
    <w:name w:val="Body text (4)"/>
    <w:basedOn w:val="Normal"/>
    <w:link w:val="Bodytext4"/>
    <w:pPr>
      <w:shd w:val="clear" w:color="auto" w:fill="FFFFFF"/>
      <w:spacing w:before="360" w:after="480" w:line="0" w:lineRule="atLeast"/>
      <w:jc w:val="both"/>
    </w:pPr>
    <w:rPr>
      <w:rFonts w:ascii="Tahoma" w:eastAsia="Tahoma" w:hAnsi="Tahoma" w:cs="Tahoma"/>
      <w:b/>
      <w:bCs/>
      <w:sz w:val="27"/>
      <w:szCs w:val="27"/>
    </w:rPr>
  </w:style>
  <w:style w:type="paragraph" w:customStyle="1" w:styleId="BodyText1">
    <w:name w:val="Body Text1"/>
    <w:basedOn w:val="Normal"/>
    <w:link w:val="Bodytext"/>
    <w:pPr>
      <w:shd w:val="clear" w:color="auto" w:fill="FFFFFF"/>
      <w:spacing w:before="480" w:after="60" w:line="673" w:lineRule="exact"/>
      <w:ind w:hanging="360"/>
      <w:jc w:val="both"/>
    </w:pPr>
    <w:rPr>
      <w:rFonts w:ascii="Tahoma" w:eastAsia="Tahoma" w:hAnsi="Tahoma" w:cs="Tahoma"/>
      <w:sz w:val="28"/>
      <w:szCs w:val="28"/>
    </w:rPr>
  </w:style>
  <w:style w:type="paragraph" w:customStyle="1" w:styleId="Bodytext50">
    <w:name w:val="Body text (5)"/>
    <w:basedOn w:val="Normal"/>
    <w:link w:val="Bodytext5"/>
    <w:pPr>
      <w:shd w:val="clear" w:color="auto" w:fill="FFFFFF"/>
      <w:spacing w:before="60" w:line="670" w:lineRule="exact"/>
      <w:jc w:val="both"/>
    </w:pPr>
    <w:rPr>
      <w:rFonts w:ascii="Tahoma" w:eastAsia="Tahoma" w:hAnsi="Tahoma" w:cs="Tahoma"/>
      <w:i/>
      <w:iCs/>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961</Words>
  <Characters>5479</Characters>
  <Application>Microsoft Office Word</Application>
  <DocSecurity>0</DocSecurity>
  <Lines>45</Lines>
  <Paragraphs>12</Paragraphs>
  <ScaleCrop>false</ScaleCrop>
  <Company>University of Cape Town</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2017-03-28T07:09:00Z</dcterms:created>
  <dcterms:modified xsi:type="dcterms:W3CDTF">2017-03-28T07:14:00Z</dcterms:modified>
</cp:coreProperties>
</file>